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74BE6" w:rsidRDefault="00C05439" w:rsidP="00921457">
      <w:pPr>
        <w:keepNext/>
        <w:keepLines/>
        <w:tabs>
          <w:tab w:val="left" w:pos="284"/>
        </w:tabs>
        <w:jc w:val="center"/>
        <w:rPr>
          <w:b/>
          <w:bCs/>
          <w:sz w:val="32"/>
          <w:szCs w:val="32"/>
          <w:lang w:val="en-GB"/>
        </w:rPr>
      </w:pPr>
      <w:r>
        <w:rPr>
          <w:b/>
          <w:bCs/>
          <w:noProof/>
          <w:sz w:val="32"/>
          <w:szCs w:val="32"/>
          <w:lang w:val="en-US" w:eastAsia="en-US"/>
        </w:rPr>
        <mc:AlternateContent>
          <mc:Choice Requires="wps">
            <w:drawing>
              <wp:anchor distT="0" distB="0" distL="114300" distR="114300" simplePos="0" relativeHeight="251659264" behindDoc="0" locked="0" layoutInCell="1" allowOverlap="1">
                <wp:simplePos x="0" y="0"/>
                <wp:positionH relativeFrom="column">
                  <wp:posOffset>3390901</wp:posOffset>
                </wp:positionH>
                <wp:positionV relativeFrom="paragraph">
                  <wp:posOffset>-695325</wp:posOffset>
                </wp:positionV>
                <wp:extent cx="2819400" cy="4953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819400"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05439" w:rsidRDefault="00C05439" w:rsidP="00C05439">
                            <w:r>
                              <w:rPr>
                                <w:b/>
                                <w:bCs/>
                                <w:i/>
                                <w:iCs/>
                              </w:rPr>
                              <w:tab/>
                            </w:r>
                            <w:r>
                              <w:rPr>
                                <w:b/>
                                <w:bCs/>
                                <w:i/>
                                <w:iCs/>
                              </w:rPr>
                              <w:tab/>
                            </w:r>
                            <w:r>
                              <w:rPr>
                                <w:b/>
                                <w:bCs/>
                                <w:i/>
                                <w:iCs/>
                              </w:rPr>
                              <w:tab/>
                              <w:t xml:space="preserve">    </w:t>
                            </w:r>
                            <w:r w:rsidRPr="008260B2">
                              <w:rPr>
                                <w:b/>
                                <w:bCs/>
                                <w:i/>
                                <w:iCs/>
                              </w:rPr>
                              <w:t xml:space="preserve">e-ISSN: 3027-0650                                                                              </w:t>
                            </w:r>
                            <w:r>
                              <w:rPr>
                                <w:b/>
                                <w:bCs/>
                                <w:i/>
                                <w:iCs/>
                              </w:rPr>
                              <w:t xml:space="preserve">   </w:t>
                            </w:r>
                            <w:r w:rsidRPr="008260B2">
                              <w:rPr>
                                <w:b/>
                                <w:bCs/>
                                <w:i/>
                                <w:iCs/>
                              </w:rPr>
                              <w:t>Vol. 2</w:t>
                            </w:r>
                            <w:r w:rsidR="001263DC">
                              <w:rPr>
                                <w:b/>
                                <w:bCs/>
                                <w:i/>
                                <w:iCs/>
                              </w:rPr>
                              <w:t>, Issue 1, pp12</w:t>
                            </w:r>
                            <w:r>
                              <w:rPr>
                                <w:b/>
                                <w:bCs/>
                                <w:i/>
                                <w:iCs/>
                              </w:rPr>
                              <w:t>1</w:t>
                            </w:r>
                            <w:r w:rsidRPr="008260B2">
                              <w:rPr>
                                <w:b/>
                                <w:bCs/>
                                <w:i/>
                                <w:iCs/>
                              </w:rPr>
                              <w:t>-</w:t>
                            </w:r>
                            <w:r w:rsidR="001263DC">
                              <w:rPr>
                                <w:b/>
                                <w:bCs/>
                                <w:i/>
                                <w:iCs/>
                              </w:rPr>
                              <w:t>133</w:t>
                            </w:r>
                            <w:r w:rsidRPr="008260B2">
                              <w:rPr>
                                <w:b/>
                                <w:bCs/>
                                <w:i/>
                                <w:iCs/>
                              </w:rPr>
                              <w:t>, November 6</w:t>
                            </w:r>
                            <w:r>
                              <w:rPr>
                                <w:b/>
                                <w:bCs/>
                                <w:i/>
                                <w:iCs/>
                              </w:rPr>
                              <w:t xml:space="preserve"> -9, 2024</w:t>
                            </w:r>
                          </w:p>
                          <w:p w:rsidR="00C05439" w:rsidRDefault="00C054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67pt;margin-top:-54.75pt;width:222pt;height:3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" fillcolor="white [3201]" stroked="f" strokeweight=".5pt">
                <v:textbox>
                  <w:txbxContent>
                    <w:p w:rsidR="00C05439" w:rsidRDefault="00C05439" w:rsidP="00C05439">
                      <w:r>
                        <w:rPr>
                          <w:b/>
                          <w:bCs/>
                          <w:i/>
                          <w:iCs/>
                        </w:rPr>
                        <w:tab/>
                      </w:r>
                      <w:r>
                        <w:rPr>
                          <w:b/>
                          <w:bCs/>
                          <w:i/>
                          <w:iCs/>
                        </w:rPr>
                        <w:tab/>
                      </w:r>
                      <w:r>
                        <w:rPr>
                          <w:b/>
                          <w:bCs/>
                          <w:i/>
                          <w:iCs/>
                        </w:rPr>
                        <w:tab/>
                        <w:t xml:space="preserve">    </w:t>
                      </w:r>
                      <w:r w:rsidRPr="008260B2">
                        <w:rPr>
                          <w:b/>
                          <w:bCs/>
                          <w:i/>
                          <w:iCs/>
                        </w:rPr>
                        <w:t xml:space="preserve">e-ISSN: 3027-0650                                                                              </w:t>
                      </w:r>
                      <w:r>
                        <w:rPr>
                          <w:b/>
                          <w:bCs/>
                          <w:i/>
                          <w:iCs/>
                        </w:rPr>
                        <w:t xml:space="preserve">   </w:t>
                      </w:r>
                      <w:r w:rsidRPr="008260B2">
                        <w:rPr>
                          <w:b/>
                          <w:bCs/>
                          <w:i/>
                          <w:iCs/>
                        </w:rPr>
                        <w:t>Vol. 2</w:t>
                      </w:r>
                      <w:r w:rsidR="001263DC">
                        <w:rPr>
                          <w:b/>
                          <w:bCs/>
                          <w:i/>
                          <w:iCs/>
                        </w:rPr>
                        <w:t>, Issue 1, pp12</w:t>
                      </w:r>
                      <w:r>
                        <w:rPr>
                          <w:b/>
                          <w:bCs/>
                          <w:i/>
                          <w:iCs/>
                        </w:rPr>
                        <w:t>1</w:t>
                      </w:r>
                      <w:r w:rsidRPr="008260B2">
                        <w:rPr>
                          <w:b/>
                          <w:bCs/>
                          <w:i/>
                          <w:iCs/>
                        </w:rPr>
                        <w:t>-</w:t>
                      </w:r>
                      <w:r w:rsidR="001263DC">
                        <w:rPr>
                          <w:b/>
                          <w:bCs/>
                          <w:i/>
                          <w:iCs/>
                        </w:rPr>
                        <w:t>133</w:t>
                      </w:r>
                      <w:r w:rsidRPr="008260B2">
                        <w:rPr>
                          <w:b/>
                          <w:bCs/>
                          <w:i/>
                          <w:iCs/>
                        </w:rPr>
                        <w:t>, November 6</w:t>
                      </w:r>
                      <w:r>
                        <w:rPr>
                          <w:b/>
                          <w:bCs/>
                          <w:i/>
                          <w:iCs/>
                        </w:rPr>
                        <w:t xml:space="preserve"> -9, 2024</w:t>
                      </w:r>
                    </w:p>
                    <w:p w:rsidR="00C05439" w:rsidRDefault="00C05439"/>
                  </w:txbxContent>
                </v:textbox>
              </v:shape>
            </w:pict>
          </mc:Fallback>
        </mc:AlternateContent>
      </w:r>
      <w:r w:rsidR="00747BE7" w:rsidRPr="00747BE7">
        <w:rPr>
          <w:b/>
          <w:bCs/>
          <w:sz w:val="32"/>
          <w:szCs w:val="32"/>
          <w:lang w:val="en-GB"/>
        </w:rPr>
        <w:t>IMPACT OF NON INTEREST FINANCIAL SERVICES ON HOUSEHOLDS’ INCOME AND SAVINGS</w:t>
      </w:r>
      <w:bookmarkStart w:id="0" w:name="_GoBack"/>
      <w:bookmarkEnd w:id="0"/>
    </w:p>
    <w:p w:rsidR="00921457" w:rsidRPr="00747BE7" w:rsidRDefault="00921457" w:rsidP="00921457">
      <w:pPr>
        <w:keepNext/>
        <w:keepLines/>
        <w:tabs>
          <w:tab w:val="left" w:pos="284"/>
        </w:tabs>
        <w:jc w:val="center"/>
        <w:rPr>
          <w:sz w:val="32"/>
          <w:szCs w:val="32"/>
        </w:rPr>
      </w:pPr>
    </w:p>
    <w:p w:rsidR="00274BE6" w:rsidRPr="00921457" w:rsidRDefault="002E0DFB" w:rsidP="002E0DFB">
      <w:pPr>
        <w:ind w:firstLine="227"/>
        <w:jc w:val="center"/>
        <w:rPr>
          <w:b/>
          <w:sz w:val="24"/>
        </w:rPr>
      </w:pPr>
      <w:r w:rsidRPr="00921457">
        <w:rPr>
          <w:rFonts w:eastAsia="Times"/>
          <w:b/>
          <w:sz w:val="24"/>
        </w:rPr>
        <w:t>ABUBAKAR HAMID DANLAMI</w:t>
      </w:r>
      <w:r w:rsidR="009809A4" w:rsidRPr="00921457">
        <w:rPr>
          <w:rFonts w:eastAsia="Times"/>
          <w:b/>
          <w:sz w:val="24"/>
          <w:vertAlign w:val="superscript"/>
        </w:rPr>
        <w:t>1</w:t>
      </w:r>
      <w:r w:rsidR="008153B4" w:rsidRPr="00921457">
        <w:rPr>
          <w:rFonts w:eastAsia="Times"/>
          <w:b/>
          <w:sz w:val="24"/>
        </w:rPr>
        <w:t xml:space="preserve">, </w:t>
      </w:r>
      <w:r w:rsidRPr="00921457">
        <w:rPr>
          <w:rFonts w:asciiTheme="majorBidi" w:hAnsiTheme="majorBidi" w:cstheme="majorBidi"/>
          <w:b/>
          <w:sz w:val="24"/>
          <w:lang w:val="en-GB"/>
        </w:rPr>
        <w:t>SHEHU USMAN RANO ALIYU</w:t>
      </w:r>
      <w:r w:rsidR="009809A4" w:rsidRPr="00921457">
        <w:rPr>
          <w:rFonts w:eastAsia="Times"/>
          <w:b/>
          <w:sz w:val="24"/>
          <w:vertAlign w:val="superscript"/>
        </w:rPr>
        <w:t>2</w:t>
      </w:r>
      <w:r w:rsidR="008153B4" w:rsidRPr="00921457">
        <w:rPr>
          <w:rFonts w:eastAsia="Times"/>
          <w:b/>
          <w:sz w:val="24"/>
        </w:rPr>
        <w:t xml:space="preserve"> </w:t>
      </w:r>
    </w:p>
    <w:p w:rsidR="00274BE6" w:rsidRPr="00FA0E55" w:rsidRDefault="008153B4" w:rsidP="002E0DFB">
      <w:pPr>
        <w:ind w:left="1440" w:firstLine="720"/>
        <w:rPr>
          <w:sz w:val="22"/>
        </w:rPr>
      </w:pPr>
      <w:r w:rsidRPr="00FA0E55">
        <w:rPr>
          <w:rFonts w:eastAsia="Times"/>
          <w:szCs w:val="18"/>
        </w:rPr>
        <w:t>{</w:t>
      </w:r>
      <w:r w:rsidR="002E0DFB" w:rsidRPr="00FA0E55">
        <w:rPr>
          <w:rFonts w:eastAsia="Times"/>
          <w:szCs w:val="18"/>
        </w:rPr>
        <w:t>ah.danlami@aun.edu.ng</w:t>
      </w:r>
      <w:r w:rsidR="009809A4" w:rsidRPr="00FA0E55">
        <w:rPr>
          <w:rFonts w:eastAsia="Times"/>
          <w:szCs w:val="18"/>
          <w:vertAlign w:val="superscript"/>
        </w:rPr>
        <w:t>1</w:t>
      </w:r>
      <w:r w:rsidR="009809A4" w:rsidRPr="00FA0E55">
        <w:rPr>
          <w:rFonts w:eastAsia="Times"/>
          <w:szCs w:val="18"/>
        </w:rPr>
        <w:t xml:space="preserve">, </w:t>
      </w:r>
      <w:r w:rsidR="002E0DFB" w:rsidRPr="00FA0E55">
        <w:rPr>
          <w:rStyle w:val="go"/>
          <w:szCs w:val="18"/>
        </w:rPr>
        <w:t>suarano.eco@buk.edu.ng</w:t>
      </w:r>
      <w:r w:rsidR="009809A4" w:rsidRPr="00FA0E55">
        <w:rPr>
          <w:rFonts w:eastAsia="Times"/>
          <w:szCs w:val="18"/>
          <w:vertAlign w:val="superscript"/>
        </w:rPr>
        <w:t>2</w:t>
      </w:r>
      <w:r w:rsidR="009809A4" w:rsidRPr="00FA0E55">
        <w:rPr>
          <w:rFonts w:eastAsia="Times"/>
          <w:szCs w:val="18"/>
        </w:rPr>
        <w:t>}</w:t>
      </w:r>
    </w:p>
    <w:p w:rsidR="00274BE6" w:rsidRPr="0042530D" w:rsidRDefault="00274BE6">
      <w:pPr>
        <w:ind w:firstLine="227"/>
        <w:jc w:val="center"/>
      </w:pPr>
    </w:p>
    <w:p w:rsidR="00274BE6" w:rsidRPr="00FA0E55" w:rsidRDefault="002E0DFB" w:rsidP="002E0DFB">
      <w:pPr>
        <w:ind w:firstLine="227"/>
        <w:jc w:val="center"/>
        <w:rPr>
          <w:sz w:val="22"/>
        </w:rPr>
      </w:pPr>
      <w:r w:rsidRPr="00FA0E55">
        <w:rPr>
          <w:rFonts w:eastAsia="Times"/>
          <w:szCs w:val="18"/>
        </w:rPr>
        <w:t>Department of Economics, School of Arts and Sciences, American University of Nigeria, Yola</w:t>
      </w:r>
      <w:r w:rsidR="009809A4" w:rsidRPr="00FA0E55">
        <w:rPr>
          <w:rFonts w:eastAsia="Times"/>
          <w:szCs w:val="18"/>
          <w:vertAlign w:val="superscript"/>
        </w:rPr>
        <w:t>1</w:t>
      </w:r>
      <w:r w:rsidR="009809A4" w:rsidRPr="00FA0E55">
        <w:rPr>
          <w:rFonts w:eastAsia="Times"/>
          <w:szCs w:val="18"/>
        </w:rPr>
        <w:t xml:space="preserve">, </w:t>
      </w:r>
      <w:r w:rsidRPr="00FA0E55">
        <w:rPr>
          <w:rFonts w:eastAsia="Times"/>
          <w:szCs w:val="18"/>
        </w:rPr>
        <w:t>Department of Economics, Faculty of Social Sciences, Bayero University Kano, Nigeria</w:t>
      </w:r>
      <w:r w:rsidR="009809A4" w:rsidRPr="00FA0E55">
        <w:rPr>
          <w:rFonts w:eastAsia="Times"/>
          <w:szCs w:val="18"/>
          <w:vertAlign w:val="superscript"/>
        </w:rPr>
        <w:t>2</w:t>
      </w:r>
    </w:p>
    <w:p w:rsidR="002E0DFB" w:rsidRPr="00FA0E55" w:rsidRDefault="008153B4" w:rsidP="002E0DFB">
      <w:pPr>
        <w:spacing w:before="400" w:after="120"/>
        <w:ind w:left="567" w:right="567"/>
        <w:jc w:val="both"/>
        <w:rPr>
          <w:rFonts w:eastAsia="Times"/>
          <w:szCs w:val="18"/>
        </w:rPr>
      </w:pPr>
      <w:r w:rsidRPr="00FA0E55">
        <w:rPr>
          <w:rFonts w:eastAsia="Times"/>
          <w:b/>
          <w:szCs w:val="18"/>
        </w:rPr>
        <w:t>Abstract.</w:t>
      </w:r>
      <w:r w:rsidRPr="00FA0E55">
        <w:rPr>
          <w:rFonts w:eastAsia="Times"/>
          <w:szCs w:val="18"/>
        </w:rPr>
        <w:t xml:space="preserve"> </w:t>
      </w:r>
      <w:r w:rsidR="002E0DFB" w:rsidRPr="00FA0E55">
        <w:rPr>
          <w:rFonts w:asciiTheme="majorBidi" w:hAnsiTheme="majorBidi" w:cstheme="majorBidi"/>
          <w:szCs w:val="18"/>
        </w:rPr>
        <w:t>This paper examines and assesses the impact of non-interest financial services on household livelihood as indicated by the improvement in the households’ income and savings. A total of 750 client households were randomly selected from the seven states in the Northwest region of Nigeria. Intuitively, the study considered two dimensions through which the impact could be felt; namely; change in households’ income and savings. The paper employs logistic regression model in its analyses. The result of the empirical estimations shows that the household’s change in income model is significantly influenced by household’s size, gender of the household head, current facility amount, number of repayment installments, the type of account maintain with the non interest financial service providers and membership in a cooperative society. In the household’s savings model, the study found that religion, household size, income, operating a mudarabah savings account, type of the non interest facility enjoy and membership in a cooperative society increases household’s savings habit, and therefore, improve livelihood. Lastly, the study posits that measures aimed at improving access to non-interest financial services, especially for women, is capable of enhancing livelihood in the study area.</w:t>
      </w:r>
    </w:p>
    <w:p w:rsidR="00274BE6" w:rsidRPr="00FA0E55" w:rsidRDefault="008153B4" w:rsidP="00750157">
      <w:pPr>
        <w:spacing w:before="400" w:after="120"/>
        <w:ind w:left="567" w:right="567"/>
        <w:jc w:val="both"/>
        <w:rPr>
          <w:sz w:val="22"/>
        </w:rPr>
      </w:pPr>
      <w:r w:rsidRPr="00FA0E55">
        <w:rPr>
          <w:rFonts w:eastAsia="Times"/>
          <w:b/>
          <w:szCs w:val="18"/>
        </w:rPr>
        <w:t xml:space="preserve">Keywords: </w:t>
      </w:r>
      <w:r w:rsidR="00750157" w:rsidRPr="00FA0E55">
        <w:rPr>
          <w:szCs w:val="18"/>
        </w:rPr>
        <w:t>non-interest, financial-services, household, livelihood</w:t>
      </w:r>
    </w:p>
    <w:p w:rsidR="00274BE6" w:rsidRPr="0042530D" w:rsidRDefault="008153B4">
      <w:pPr>
        <w:keepNext/>
        <w:keepLines/>
        <w:tabs>
          <w:tab w:val="left" w:pos="454"/>
        </w:tabs>
        <w:spacing w:before="520" w:after="280"/>
        <w:jc w:val="both"/>
      </w:pPr>
      <w:r w:rsidRPr="0042530D">
        <w:rPr>
          <w:rFonts w:eastAsia="Times"/>
          <w:b/>
          <w:sz w:val="24"/>
          <w:szCs w:val="24"/>
        </w:rPr>
        <w:t>1   Introduction</w:t>
      </w:r>
    </w:p>
    <w:p w:rsidR="00340930" w:rsidRDefault="00340930" w:rsidP="00340930">
      <w:pPr>
        <w:jc w:val="both"/>
      </w:pPr>
      <w:r w:rsidRPr="00340930">
        <w:t>The overriding recognition of the complex make up of livelihood has resulted in many new modalities and more comprehensive programmes that address not only the replacement of physical assets, but the restoration of crucial social networks, provision of financial services, and development of markets (Kofarmata &amp; Danlami, 2021). The first step for building self-sufficiency and a sustainable livelihood is re-establishing the necessary assets for income generation. Without an income, individuals and households are obliged to depend on family, friends and other available avenues of assistance to meet their most basic needs. Where help is limited, many are forced to resort to adverse coping mechanisms, such as cutting down on meals or selling off any remaining productive assets. Without assets, earning opportunities decrease and many are forced to migrate for menial work or take on overwhelming debt. To prevent this spiral cycle of vulnerability, it is imperative to act swiftly to protect the assets people have and replace or rebuild those that have been lost (United Nation Development Programme [UNDP], nd). Furthermore, it is generally agreed that assets ownership and household wealth accumulation significantly improve the livelihood and welfare of households. This implies that the higher the number of assets and the amount of wealth accumulation, the better the livelihood of the households. However, households in the Northwest region of Nigeria have minimal possession of assets for better livelihood. In fact, in most cases, the households in the region do not even possess the basic home assets for day-to-day livelihood based on the data provided by National Bureau of Statistics (NBS, 2020).</w:t>
      </w:r>
    </w:p>
    <w:p w:rsidR="00FA0E55" w:rsidRPr="00340930" w:rsidRDefault="00FA0E55" w:rsidP="00340930">
      <w:pPr>
        <w:jc w:val="both"/>
      </w:pPr>
    </w:p>
    <w:p w:rsidR="00340930" w:rsidRDefault="00340930" w:rsidP="00340930">
      <w:pPr>
        <w:jc w:val="both"/>
      </w:pPr>
      <w:r w:rsidRPr="00340930">
        <w:t xml:space="preserve">Programming and funding for livelihood support is channeled through multiple sectors, and livelihood practitioners struggle to develop effective coordination mechanisms and tools to assess needs, evaluate impacts, and prevent overlapping and conflicting interventions. However, many of these programmes have been mostly ad-hoc and poorly sustained (Bashir &amp; Danlami, 2022). Moreover, poverty in the Northwest region of Nigeria is so pervasive to the extent that two states (Sokoto and Jigawa) in the Northwest region occupy the first and second positions of having the highest percentage of household living below the poverty line. In Sokoto State, 87.73% of households are poverty-stricken while that of Jigawa State is 87.02% (NBS, 2020). On a positive note, Kaduna State, in the region, recorded the least percentage of 43.5% of households living below the poverty line (NBS, 2020). </w:t>
      </w:r>
    </w:p>
    <w:p w:rsidR="00FA0E55" w:rsidRPr="00340930" w:rsidRDefault="00FA0E55" w:rsidP="00340930">
      <w:pPr>
        <w:jc w:val="both"/>
      </w:pPr>
    </w:p>
    <w:p w:rsidR="00340930" w:rsidRDefault="00340930" w:rsidP="00340930">
      <w:pPr>
        <w:jc w:val="both"/>
      </w:pPr>
      <w:r w:rsidRPr="00340930">
        <w:t xml:space="preserve">Therefore, inability of households to attain livelihoods could lead to vulnerability, malnutrition, impoverishment, and often resulting in negative coping strategies for survival.  For instance, evidence shows that the average daily calorie intake per person in the region is about 1,300 calories which is much lower than the global daily average calorie intake of </w:t>
      </w:r>
      <w:r w:rsidRPr="00340930">
        <w:lastRenderedPageBreak/>
        <w:t xml:space="preserve">2700 calories (Danlami et al., 2016; Kofarmata &amp; Danlami, 2019). The situation is further aggravated by lack of ability to raise credit for investment in livelihood activities. This poverty trend indicates the need for higher financial inclusion of individuals in the Northwest zone to improve the livelihood of people in the area. </w:t>
      </w:r>
    </w:p>
    <w:p w:rsidR="00FA0E55" w:rsidRPr="00340930" w:rsidRDefault="00FA0E55" w:rsidP="00340930">
      <w:pPr>
        <w:jc w:val="both"/>
      </w:pPr>
    </w:p>
    <w:p w:rsidR="00274BE6" w:rsidRPr="0042530D" w:rsidRDefault="00340930" w:rsidP="00FA0E55">
      <w:pPr>
        <w:jc w:val="both"/>
      </w:pPr>
      <w:r w:rsidRPr="00340930">
        <w:t>Against this background, this study investigates the impact of non interest financial services on the livelihood of households in the Northwest Region of Nigeria. The remaining parts of the paper are explained as follows. Section two is the literature review, section three explained the methodology of the paper</w:t>
      </w:r>
      <w:r>
        <w:t xml:space="preserve">. </w:t>
      </w:r>
      <w:r w:rsidRPr="00340930">
        <w:t>Sections four and five contain presentation of empirical findings and conclusion and recommendations, respectively.</w:t>
      </w:r>
    </w:p>
    <w:p w:rsidR="00274BE6" w:rsidRPr="0042530D" w:rsidRDefault="008153B4" w:rsidP="001D4DF2">
      <w:pPr>
        <w:keepNext/>
        <w:keepLines/>
        <w:tabs>
          <w:tab w:val="left" w:pos="454"/>
        </w:tabs>
        <w:spacing w:before="520" w:after="280"/>
        <w:jc w:val="both"/>
      </w:pPr>
      <w:r w:rsidRPr="0042530D">
        <w:rPr>
          <w:rFonts w:eastAsia="Times"/>
          <w:b/>
          <w:sz w:val="24"/>
          <w:szCs w:val="24"/>
        </w:rPr>
        <w:t xml:space="preserve">2   </w:t>
      </w:r>
      <w:r w:rsidR="001D4DF2">
        <w:rPr>
          <w:rFonts w:eastAsia="Times"/>
          <w:b/>
          <w:sz w:val="24"/>
          <w:szCs w:val="24"/>
        </w:rPr>
        <w:t>Literature Review</w:t>
      </w:r>
    </w:p>
    <w:p w:rsidR="001D4DF2" w:rsidRPr="00901AC9" w:rsidRDefault="001D4DF2" w:rsidP="001D4DF2">
      <w:pPr>
        <w:jc w:val="both"/>
      </w:pPr>
      <w:r w:rsidRPr="00901AC9">
        <w:t xml:space="preserve">A sustainable livelihood paradigm is framed on five independent and interrelated factors which consist of: physical, natural, social, human and financial (Department for International Development [DFID], 2001). Incidentally, these assets of livelihood coincide with the objectives of Islamic law known as </w:t>
      </w:r>
      <w:r w:rsidRPr="00901AC9">
        <w:rPr>
          <w:i/>
        </w:rPr>
        <w:t>Maqasid</w:t>
      </w:r>
      <w:r w:rsidRPr="00901AC9">
        <w:t>-</w:t>
      </w:r>
      <w:r w:rsidRPr="00901AC9">
        <w:rPr>
          <w:i/>
        </w:rPr>
        <w:t xml:space="preserve">Shari’ah </w:t>
      </w:r>
      <w:r w:rsidRPr="00901AC9">
        <w:t>which Islamic jurists such as Imam Al-Ghazali, and also Dusuki and Abozaid (2007) whose arguments are in course to ensuring justice in the societal socio-economic living. Evidences indicated that Islamic financing and investment systems incentivize more ethical and economically required behaviours causing poverty alleviation by way of embracing non-interest financial resources (Al-Harran, 1999; Dhumale &amp; Sapcanin, 1998; Akhtar, 1998; Ahmed, 2001; El-Gamal, 2006 &amp; Miazur, 2010).</w:t>
      </w:r>
    </w:p>
    <w:p w:rsidR="001D4DF2" w:rsidRDefault="001D4DF2" w:rsidP="001D4DF2">
      <w:pPr>
        <w:jc w:val="both"/>
      </w:pPr>
      <w:r w:rsidRPr="00901AC9">
        <w:t>Specifically, Bangladesh Institute of Development Studies (BIDS) (2001) conducted a study on microcredit, the study reported that there was a positive relationship between the microcredit and the income of the participants</w:t>
      </w:r>
      <w:bookmarkStart w:id="1" w:name="_Hlk110659950"/>
      <w:r w:rsidRPr="00901AC9">
        <w:t>. In the same vein, Zaman (2001)</w:t>
      </w:r>
      <w:bookmarkEnd w:id="1"/>
      <w:r w:rsidRPr="00901AC9">
        <w:t xml:space="preserve"> assessed the impact of microcredit on poverty reduction and households’ savings. The findings revealed that microcredit increases voluntary savings and reduces poverty among women and increases women’s decision making ability.</w:t>
      </w:r>
    </w:p>
    <w:p w:rsidR="00FA0E55" w:rsidRPr="00901AC9" w:rsidRDefault="00FA0E55" w:rsidP="001D4DF2">
      <w:pPr>
        <w:jc w:val="both"/>
      </w:pPr>
    </w:p>
    <w:p w:rsidR="001D4DF2" w:rsidRDefault="001D4DF2" w:rsidP="00FA0E55">
      <w:pPr>
        <w:autoSpaceDE w:val="0"/>
        <w:autoSpaceDN w:val="0"/>
        <w:adjustRightInd w:val="0"/>
        <w:jc w:val="both"/>
        <w:rPr>
          <w:rStyle w:val="Emphasis"/>
          <w:i w:val="0"/>
          <w:iCs w:val="0"/>
        </w:rPr>
      </w:pPr>
      <w:r w:rsidRPr="00901AC9">
        <w:t>Furthermore, a study by Amin et al. (2003) on the impact of three Islamic microfinance programmes on rural poverty eradication title: ASA Financial, Bangladesh Rehabilitation Assistance Committee (BRAC) and microcredit clients of Grameen Bank, the study concluded that the microcredit programmes were more successful in terms of reaching the poor. Moreover, Miazur (2010) concluded that productivity of crops and livestock, household income, as well as employment and expenditure of beneficiaries of Islamic microfinance facilities in Bangladesh, increased significantly as a result of the influence of changed behaviour and availability of the Islamic Microfinance. Additionally, Larry (2016) empirically established that; proper financing of non-interest transactions determines the trend of poverty reduction in Nigeria.</w:t>
      </w:r>
      <w:bookmarkStart w:id="2" w:name="_Hlk110659836"/>
      <w:r w:rsidR="00FA0E55">
        <w:t xml:space="preserve"> </w:t>
      </w:r>
      <w:r w:rsidRPr="00901AC9">
        <w:t xml:space="preserve">In addition, </w:t>
      </w:r>
      <w:bookmarkStart w:id="3" w:name="_Hlk110659885"/>
      <w:r w:rsidRPr="00901AC9">
        <w:t>Bhuiyan et al. (2015)</w:t>
      </w:r>
      <w:bookmarkEnd w:id="3"/>
      <w:r w:rsidRPr="00901AC9">
        <w:t xml:space="preserve"> empirically </w:t>
      </w:r>
      <w:r w:rsidRPr="00901AC9">
        <w:rPr>
          <w:lang w:val="en-GB"/>
        </w:rPr>
        <w:t xml:space="preserve">found that credit access significantly improved </w:t>
      </w:r>
      <w:r w:rsidRPr="00901AC9">
        <w:t>sustainable livelihood</w:t>
      </w:r>
      <w:r w:rsidRPr="00901AC9">
        <w:rPr>
          <w:lang w:val="en-GB"/>
        </w:rPr>
        <w:t xml:space="preserve"> of customers of the Islamic bank microfinance schemes in Bangladesh as well as reduced the poverty incidence of same. Furthermore, the level of beneficiary’s education, household savings and total amount of loan received, were among the significant determinants of livelihood status of the borrowers. Similarly, </w:t>
      </w:r>
      <w:bookmarkStart w:id="4" w:name="_Hlk110659926"/>
      <w:r w:rsidRPr="00901AC9">
        <w:t>Ahmed et al. (2015)</w:t>
      </w:r>
      <w:bookmarkEnd w:id="4"/>
      <w:r w:rsidRPr="00901AC9">
        <w:t xml:space="preserve"> opined that the Islamic financial sector has the potential to contribute to the achievement of the Sustainable Development Goals (SDG) as long as the principles of Islamic finance that support socially inclusive and development activities. This conforms to the study by </w:t>
      </w:r>
      <w:r w:rsidRPr="00901AC9">
        <w:rPr>
          <w:rStyle w:val="Emphasis"/>
          <w:i w:val="0"/>
          <w:iCs w:val="0"/>
        </w:rPr>
        <w:t>Hoffmann et al. (2018) who assed impact of government-sponsored livelihoods projects among households and women in India. The results indicated that there is significant positive impact on assets ownership among households.</w:t>
      </w:r>
    </w:p>
    <w:p w:rsidR="00FA0E55" w:rsidRPr="00901AC9" w:rsidRDefault="00FA0E55" w:rsidP="00FA0E55">
      <w:pPr>
        <w:autoSpaceDE w:val="0"/>
        <w:autoSpaceDN w:val="0"/>
        <w:adjustRightInd w:val="0"/>
        <w:jc w:val="both"/>
        <w:rPr>
          <w:rStyle w:val="Emphasis"/>
          <w:i w:val="0"/>
          <w:iCs w:val="0"/>
        </w:rPr>
      </w:pPr>
    </w:p>
    <w:p w:rsidR="001D4DF2" w:rsidRPr="00901AC9" w:rsidRDefault="001D4DF2" w:rsidP="001D4DF2">
      <w:pPr>
        <w:jc w:val="both"/>
        <w:rPr>
          <w:rStyle w:val="Emphasis"/>
          <w:i w:val="0"/>
        </w:rPr>
      </w:pPr>
      <w:r w:rsidRPr="00901AC9">
        <w:rPr>
          <w:rStyle w:val="Emphasis"/>
          <w:i w:val="0"/>
        </w:rPr>
        <w:t xml:space="preserve">Furthermore, Danlami et al. (2024) in their preliminary investigation on non interest financial services and household livelihood concluded that the factors that might have significant impact on the livelihood of the clients of non interest financial services include: household head gender, access to the non interest facility, age, household size cost of obtaining the non interest facility and the years of business experience. Being a preliminary study, the study recommended further in-depth empirical investigation on this concept.  </w:t>
      </w:r>
    </w:p>
    <w:p w:rsidR="00274BE6" w:rsidRPr="0042530D" w:rsidRDefault="001D4DF2" w:rsidP="00E72677">
      <w:pPr>
        <w:jc w:val="both"/>
      </w:pPr>
      <w:r w:rsidRPr="00901AC9">
        <w:t>Lastly, Jailos (2019)</w:t>
      </w:r>
      <w:bookmarkEnd w:id="2"/>
      <w:r w:rsidRPr="00901AC9">
        <w:t xml:space="preserve"> empirically examined the impact of financial inclusion on the livelihood of rural households in Tanzania. The results showed that, financial inclusion has a positive significant impact on rural livelihoods in Tanzania. Easy access to formal banking services leads to positive changes in the rural livelihood status of households. The study recommends aggressive strategy on financial inclusion to reduce poverty and financial access vulnerabilities. This is consistent with the findings of </w:t>
      </w:r>
      <w:bookmarkStart w:id="5" w:name="_Hlk110659855"/>
      <w:r w:rsidRPr="00901AC9">
        <w:t>Bilal et al. (2020)</w:t>
      </w:r>
      <w:bookmarkEnd w:id="5"/>
      <w:r w:rsidRPr="00901AC9">
        <w:t xml:space="preserve"> who found a positive relationship between microfinance services and livelihood.</w:t>
      </w:r>
      <w:r w:rsidR="008153B4" w:rsidRPr="0042530D">
        <w:rPr>
          <w:rFonts w:eastAsia="Times"/>
        </w:rPr>
        <w:t xml:space="preserve"> </w:t>
      </w:r>
    </w:p>
    <w:p w:rsidR="00274BE6" w:rsidRPr="0042530D" w:rsidRDefault="00274BE6">
      <w:pPr>
        <w:jc w:val="both"/>
      </w:pPr>
    </w:p>
    <w:p w:rsidR="00111DC4" w:rsidRPr="00111DC4" w:rsidRDefault="00111DC4" w:rsidP="00FA0E55">
      <w:pPr>
        <w:pStyle w:val="ListParagraph"/>
        <w:numPr>
          <w:ilvl w:val="0"/>
          <w:numId w:val="3"/>
        </w:numPr>
        <w:ind w:left="0" w:firstLine="0"/>
        <w:rPr>
          <w:rFonts w:asciiTheme="majorBidi" w:hAnsiTheme="majorBidi" w:cstheme="majorBidi"/>
          <w:b/>
          <w:bCs/>
          <w:sz w:val="24"/>
          <w:szCs w:val="24"/>
          <w:lang w:val="en-GB"/>
        </w:rPr>
      </w:pPr>
      <w:r w:rsidRPr="00111DC4">
        <w:rPr>
          <w:rFonts w:asciiTheme="majorBidi" w:hAnsiTheme="majorBidi" w:cstheme="majorBidi"/>
          <w:b/>
          <w:bCs/>
          <w:sz w:val="24"/>
          <w:szCs w:val="24"/>
          <w:lang w:val="en-GB"/>
        </w:rPr>
        <w:t>Methodology</w:t>
      </w:r>
    </w:p>
    <w:p w:rsidR="00111DC4" w:rsidRPr="00097C18" w:rsidRDefault="00111DC4" w:rsidP="00111DC4">
      <w:pPr>
        <w:autoSpaceDE w:val="0"/>
        <w:autoSpaceDN w:val="0"/>
        <w:adjustRightInd w:val="0"/>
        <w:jc w:val="both"/>
      </w:pPr>
      <w:r w:rsidRPr="00097C18">
        <w:t>In view of the fact that the paper studies households at the micro level, this section contains the description of the methods used in data gathering as well as the model used by the study as the tool of data analysis.</w:t>
      </w:r>
    </w:p>
    <w:p w:rsidR="00111DC4" w:rsidRPr="003C1E51" w:rsidRDefault="00111DC4" w:rsidP="00111DC4">
      <w:pPr>
        <w:autoSpaceDE w:val="0"/>
        <w:autoSpaceDN w:val="0"/>
        <w:adjustRightInd w:val="0"/>
        <w:jc w:val="both"/>
        <w:rPr>
          <w:rFonts w:asciiTheme="majorBidi" w:hAnsiTheme="majorBidi" w:cstheme="majorBidi"/>
          <w:b/>
          <w:bCs/>
          <w:sz w:val="24"/>
          <w:szCs w:val="24"/>
        </w:rPr>
      </w:pPr>
    </w:p>
    <w:p w:rsidR="00111DC4" w:rsidRPr="003C1E51" w:rsidRDefault="00111DC4" w:rsidP="00111DC4">
      <w:pPr>
        <w:autoSpaceDE w:val="0"/>
        <w:autoSpaceDN w:val="0"/>
        <w:adjustRightInd w:val="0"/>
        <w:jc w:val="both"/>
        <w:rPr>
          <w:rFonts w:asciiTheme="majorBidi" w:hAnsiTheme="majorBidi" w:cstheme="majorBidi"/>
          <w:b/>
          <w:bCs/>
          <w:sz w:val="24"/>
          <w:szCs w:val="24"/>
        </w:rPr>
      </w:pPr>
      <w:r w:rsidRPr="003C1E51">
        <w:rPr>
          <w:rFonts w:asciiTheme="majorBidi" w:hAnsiTheme="majorBidi" w:cstheme="majorBidi"/>
          <w:b/>
          <w:bCs/>
          <w:sz w:val="24"/>
          <w:szCs w:val="24"/>
        </w:rPr>
        <w:t>3.1</w:t>
      </w:r>
      <w:r w:rsidRPr="003C1E51">
        <w:rPr>
          <w:rFonts w:asciiTheme="majorBidi" w:hAnsiTheme="majorBidi" w:cstheme="majorBidi"/>
          <w:b/>
          <w:bCs/>
          <w:sz w:val="24"/>
          <w:szCs w:val="24"/>
        </w:rPr>
        <w:tab/>
        <w:t>Sampling and Data Source</w:t>
      </w:r>
    </w:p>
    <w:p w:rsidR="00111DC4" w:rsidRPr="00097C18" w:rsidRDefault="00111DC4" w:rsidP="00111DC4">
      <w:pPr>
        <w:autoSpaceDE w:val="0"/>
        <w:autoSpaceDN w:val="0"/>
        <w:adjustRightInd w:val="0"/>
        <w:jc w:val="both"/>
        <w:rPr>
          <w:iCs/>
        </w:rPr>
      </w:pPr>
      <w:r w:rsidRPr="00097C18">
        <w:rPr>
          <w:iCs/>
        </w:rPr>
        <w:t xml:space="preserve">The sampling technique used in this study is the two-stage cluster sampling. In the first stage, the whole of the study area were divided into seven clusters on the basis of the States’ boundaries of the Northwest region namely; </w:t>
      </w:r>
      <w:r w:rsidRPr="00097C18">
        <w:t>Jigawa, Kaduna, Kano, Katsina, Kebbi, Sokoto and Zamfara states respectively</w:t>
      </w:r>
      <w:r w:rsidRPr="00097C18">
        <w:rPr>
          <w:iCs/>
        </w:rPr>
        <w:t xml:space="preserve">. In the second stage, from each of the seven clusters (i.e., states) a total of </w:t>
      </w:r>
      <w:r w:rsidRPr="00097C18">
        <w:t>100 respondents were randomly selected from the clients of non interest financial services excluding Kano State, whereby by a total of 150 respondents were randomly selected. This gives the total of 750 respondents selected as the samples of the study</w:t>
      </w:r>
    </w:p>
    <w:p w:rsidR="00111DC4" w:rsidRPr="003C1E51" w:rsidRDefault="00111DC4" w:rsidP="00111DC4">
      <w:pPr>
        <w:autoSpaceDE w:val="0"/>
        <w:autoSpaceDN w:val="0"/>
        <w:adjustRightInd w:val="0"/>
        <w:jc w:val="both"/>
        <w:rPr>
          <w:rFonts w:asciiTheme="majorBidi" w:hAnsiTheme="majorBidi" w:cstheme="majorBidi"/>
          <w:sz w:val="24"/>
          <w:szCs w:val="24"/>
        </w:rPr>
      </w:pPr>
    </w:p>
    <w:p w:rsidR="00111DC4" w:rsidRPr="003C1E51" w:rsidRDefault="00111DC4" w:rsidP="00111DC4">
      <w:pPr>
        <w:jc w:val="both"/>
        <w:rPr>
          <w:rFonts w:asciiTheme="majorBidi" w:hAnsiTheme="majorBidi" w:cstheme="majorBidi"/>
          <w:b/>
          <w:sz w:val="24"/>
          <w:szCs w:val="24"/>
        </w:rPr>
      </w:pPr>
      <w:r w:rsidRPr="003C1E51">
        <w:rPr>
          <w:rFonts w:asciiTheme="majorBidi" w:hAnsiTheme="majorBidi" w:cstheme="majorBidi"/>
          <w:b/>
          <w:sz w:val="24"/>
          <w:szCs w:val="24"/>
        </w:rPr>
        <w:t>3.2</w:t>
      </w:r>
      <w:r w:rsidRPr="003C1E51">
        <w:rPr>
          <w:rFonts w:asciiTheme="majorBidi" w:hAnsiTheme="majorBidi" w:cstheme="majorBidi"/>
          <w:b/>
          <w:sz w:val="24"/>
          <w:szCs w:val="24"/>
        </w:rPr>
        <w:tab/>
        <w:t>Model Specification</w:t>
      </w:r>
    </w:p>
    <w:p w:rsidR="00111DC4" w:rsidRPr="00097C18" w:rsidRDefault="00111DC4" w:rsidP="00111DC4">
      <w:pPr>
        <w:autoSpaceDE w:val="0"/>
        <w:autoSpaceDN w:val="0"/>
        <w:adjustRightInd w:val="0"/>
        <w:jc w:val="both"/>
      </w:pPr>
      <w:r w:rsidRPr="00097C18">
        <w:t xml:space="preserve">Literature is replete with application of logit model when a researcher is confronted with discrete data. Accordingly, logit model was used to assess how provision of non-interest services by financial institutions improved the livelihood of the clients in terms of change in income, consumption and savings behaviors of the clients. Following </w:t>
      </w:r>
      <w:bookmarkStart w:id="6" w:name="_Hlk110661298"/>
      <w:r w:rsidRPr="00097C18">
        <w:t>Danlami et al. (2017) and Gujarati (2004)</w:t>
      </w:r>
      <w:bookmarkEnd w:id="6"/>
      <w:r w:rsidRPr="00097C18">
        <w:t>, the theoretical logit model can be expressed as follows:</w:t>
      </w:r>
    </w:p>
    <w:p w:rsidR="00111DC4" w:rsidRPr="00DD6EC5" w:rsidRDefault="00111DC4" w:rsidP="00111DC4">
      <w:pPr>
        <w:autoSpaceDE w:val="0"/>
        <w:autoSpaceDN w:val="0"/>
        <w:adjustRightInd w:val="0"/>
        <w:jc w:val="both"/>
      </w:pPr>
    </w:p>
    <w:p w:rsidR="00111DC4" w:rsidRPr="00DD6EC5" w:rsidRDefault="00111DC4" w:rsidP="004E656C">
      <w:pPr>
        <w:autoSpaceDE w:val="0"/>
        <w:autoSpaceDN w:val="0"/>
        <w:adjustRightInd w:val="0"/>
        <w:jc w:val="both"/>
      </w:pPr>
      <m:oMathPara>
        <m:oMath>
          <m:r>
            <w:rPr>
              <w:rFonts w:ascii="Cambria Math" w:hAnsi="Cambria Math"/>
            </w:rPr>
            <m:t>P</m:t>
          </m:r>
          <m:r>
            <w:rPr>
              <w:rFonts w:ascii="Cambria Math"/>
            </w:rPr>
            <m:t>=</m:t>
          </m:r>
          <m:r>
            <w:rPr>
              <w:rFonts w:ascii="Cambria Math" w:hAnsi="Cambria Math"/>
            </w:rPr>
            <m:t>E</m:t>
          </m:r>
          <m:d>
            <m:dPr>
              <m:ctrlPr>
                <w:rPr>
                  <w:rFonts w:ascii="Cambria Math" w:hAnsi="Cambria Math"/>
                  <w:i/>
                </w:rPr>
              </m:ctrlPr>
            </m:dPr>
            <m:e>
              <m:r>
                <w:rPr>
                  <w:rFonts w:ascii="Cambria Math" w:hAnsi="Cambria Math"/>
                </w:rPr>
                <m:t>Y</m:t>
              </m:r>
              <m:r>
                <w:rPr>
                  <w:rFonts w:ascii="Cambria Math"/>
                </w:rPr>
                <m:t>=</m:t>
              </m:r>
              <m:f>
                <m:fPr>
                  <m:ctrlPr>
                    <w:rPr>
                      <w:rFonts w:ascii="Cambria Math" w:hAnsi="Cambria Math"/>
                      <w:i/>
                    </w:rPr>
                  </m:ctrlPr>
                </m:fPr>
                <m:num>
                  <m:r>
                    <w:rPr>
                      <w:rFonts w:ascii="Cambria Math"/>
                    </w:rPr>
                    <m:t>1</m:t>
                  </m:r>
                </m:num>
                <m:den>
                  <m:sSub>
                    <m:sSubPr>
                      <m:ctrlPr>
                        <w:rPr>
                          <w:rFonts w:ascii="Cambria Math" w:hAnsi="Cambria Math"/>
                          <w:i/>
                        </w:rPr>
                      </m:ctrlPr>
                    </m:sSubPr>
                    <m:e>
                      <m:r>
                        <w:rPr>
                          <w:rFonts w:ascii="Cambria Math" w:hAnsi="Cambria Math"/>
                        </w:rPr>
                        <m:t>X</m:t>
                      </m:r>
                    </m:e>
                    <m:sub>
                      <m:r>
                        <w:rPr>
                          <w:rFonts w:ascii="Cambria Math" w:hAnsi="Cambria Math"/>
                        </w:rPr>
                        <m:t>I</m:t>
                      </m:r>
                    </m:sub>
                  </m:sSub>
                </m:den>
              </m:f>
            </m:e>
          </m:d>
          <m:r>
            <w:rPr>
              <w:rFonts w:ascii="Cambria Math"/>
            </w:rPr>
            <m:t>=</m:t>
          </m:r>
          <m:f>
            <m:fPr>
              <m:ctrlPr>
                <w:rPr>
                  <w:rFonts w:ascii="Cambria Math" w:hAnsi="Cambria Math"/>
                  <w:i/>
                </w:rPr>
              </m:ctrlPr>
            </m:fPr>
            <m:num>
              <m:r>
                <w:rPr>
                  <w:rFonts w:ascii="Cambria Math"/>
                </w:rPr>
                <m:t>1</m:t>
              </m:r>
            </m:num>
            <m:den>
              <m:r>
                <w:rPr>
                  <w:rFonts w:ascii="Cambria Math"/>
                </w:rPr>
                <m:t>1+</m:t>
              </m:r>
              <m:sSup>
                <m:sSupPr>
                  <m:ctrlPr>
                    <w:rPr>
                      <w:rFonts w:ascii="Cambria Math" w:hAnsi="Cambria Math"/>
                      <w:i/>
                    </w:rPr>
                  </m:ctrlPr>
                </m:sSupPr>
                <m:e>
                  <m:r>
                    <w:rPr>
                      <w:rFonts w:ascii="Cambria Math" w:hAnsi="Cambria Math"/>
                    </w:rPr>
                    <m:t>e</m:t>
                  </m:r>
                </m:e>
                <m:sup>
                  <m:r>
                    <w:rPr>
                      <w:rFonts w:ascii="Cambria Math" w:hAnsi="Cambria Math"/>
                    </w:rPr>
                    <m:t>-</m:t>
                  </m:r>
                  <m:r>
                    <w:rPr>
                      <w:rFonts w:ascii="Cambria Math"/>
                    </w:rPr>
                    <m:t>(</m:t>
                  </m:r>
                  <m:sSub>
                    <m:sSubPr>
                      <m:ctrlPr>
                        <w:rPr>
                          <w:rFonts w:ascii="Cambria Math" w:hAnsi="Cambria Math"/>
                          <w:i/>
                        </w:rPr>
                      </m:ctrlPr>
                    </m:sSubPr>
                    <m:e>
                      <m:r>
                        <w:rPr>
                          <w:rFonts w:ascii="Cambria Math" w:hAnsi="Cambria Math"/>
                        </w:rPr>
                        <m:t>β</m:t>
                      </m:r>
                    </m:e>
                    <m:sub>
                      <m:r>
                        <w:rPr>
                          <w:rFonts w:ascii="Cambria Math"/>
                        </w:rPr>
                        <m:t>1+</m:t>
                      </m:r>
                    </m:sub>
                  </m:sSub>
                  <m:sSub>
                    <m:sSubPr>
                      <m:ctrlPr>
                        <w:rPr>
                          <w:rFonts w:ascii="Cambria Math" w:hAnsi="Cambria Math"/>
                          <w:i/>
                        </w:rPr>
                      </m:ctrlPr>
                    </m:sSubPr>
                    <m:e>
                      <m:r>
                        <w:rPr>
                          <w:rFonts w:ascii="Cambria Math" w:hAnsi="Cambria Math"/>
                        </w:rPr>
                        <m:t>β</m:t>
                      </m:r>
                    </m:e>
                    <m:sub>
                      <m:r>
                        <w:rPr>
                          <w:rFonts w:ascii="Cambria Math"/>
                        </w:rPr>
                        <m:t>2</m:t>
                      </m:r>
                    </m:sub>
                  </m:sSub>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rPr>
                    <m:t>)</m:t>
                  </m:r>
                </m:sup>
              </m:sSup>
            </m:den>
          </m:f>
          <m:r>
            <w:rPr>
              <w:rFonts w:ascii="Cambria Math"/>
            </w:rPr>
            <m:t xml:space="preserve">                                                   (1)</m:t>
          </m:r>
        </m:oMath>
      </m:oMathPara>
    </w:p>
    <w:p w:rsidR="00111DC4" w:rsidRPr="00DD6EC5" w:rsidRDefault="00111DC4" w:rsidP="00111DC4">
      <w:pPr>
        <w:autoSpaceDE w:val="0"/>
        <w:autoSpaceDN w:val="0"/>
        <w:adjustRightInd w:val="0"/>
        <w:jc w:val="both"/>
      </w:pPr>
    </w:p>
    <w:p w:rsidR="00111DC4" w:rsidRPr="00DD6EC5" w:rsidRDefault="00111DC4" w:rsidP="004E656C">
      <w:pPr>
        <w:autoSpaceDE w:val="0"/>
        <w:autoSpaceDN w:val="0"/>
        <w:adjustRightInd w:val="0"/>
        <w:spacing w:before="240" w:after="240"/>
        <w:jc w:val="both"/>
      </w:pPr>
      <w:r w:rsidRPr="00DD6EC5">
        <w:t xml:space="preserve">For ease of expression if </w:t>
      </w:r>
      <m:oMath>
        <m:r>
          <w:rPr>
            <w:rFonts w:ascii="Cambria Math" w:hAnsi="Cambria Math"/>
          </w:rPr>
          <m:t xml:space="preserve">           z</m:t>
        </m:r>
        <m:r>
          <w:rPr>
            <w:rFonts w:ascii="Cambria Math"/>
          </w:rPr>
          <m:t>=</m:t>
        </m:r>
        <m:sSub>
          <m:sSubPr>
            <m:ctrlPr>
              <w:rPr>
                <w:rFonts w:ascii="Cambria Math" w:hAnsi="Cambria Math"/>
                <w:i/>
              </w:rPr>
            </m:ctrlPr>
          </m:sSubPr>
          <m:e>
            <m:r>
              <w:rPr>
                <w:rFonts w:ascii="Cambria Math" w:hAnsi="Cambria Math"/>
              </w:rPr>
              <m:t>β</m:t>
            </m:r>
          </m:e>
          <m:sub>
            <m:r>
              <w:rPr>
                <w:rFonts w:ascii="Cambria Math"/>
              </w:rPr>
              <m:t>1</m:t>
            </m:r>
          </m:sub>
        </m:sSub>
        <m:r>
          <w:rPr>
            <w:rFonts w:ascii="Cambria Math"/>
          </w:rPr>
          <m:t>+</m:t>
        </m:r>
        <m:sSub>
          <m:sSubPr>
            <m:ctrlPr>
              <w:rPr>
                <w:rFonts w:ascii="Cambria Math" w:hAnsi="Cambria Math"/>
                <w:i/>
              </w:rPr>
            </m:ctrlPr>
          </m:sSubPr>
          <m:e>
            <m:r>
              <w:rPr>
                <w:rFonts w:ascii="Cambria Math" w:hAnsi="Cambria Math"/>
              </w:rPr>
              <m:t>β</m:t>
            </m:r>
          </m:e>
          <m:sub>
            <m:r>
              <w:rPr>
                <w:rFonts w:ascii="Cambria Math"/>
              </w:rPr>
              <m:t>2</m:t>
            </m:r>
          </m:sub>
        </m:sSub>
        <m:sSub>
          <m:sSubPr>
            <m:ctrlPr>
              <w:rPr>
                <w:rFonts w:ascii="Cambria Math" w:hAnsi="Cambria Math"/>
                <w:i/>
              </w:rPr>
            </m:ctrlPr>
          </m:sSubPr>
          <m:e>
            <m:r>
              <w:rPr>
                <w:rFonts w:ascii="Cambria Math" w:hAnsi="Cambria Math"/>
              </w:rPr>
              <m:t>X</m:t>
            </m:r>
          </m:e>
          <m:sub>
            <m:r>
              <w:rPr>
                <w:rFonts w:ascii="Cambria Math" w:hAnsi="Cambria Math"/>
              </w:rPr>
              <m:t>i</m:t>
            </m:r>
          </m:sub>
        </m:sSub>
      </m:oMath>
    </w:p>
    <w:p w:rsidR="00111DC4" w:rsidRPr="00DD6EC5" w:rsidRDefault="00111DC4" w:rsidP="004E656C">
      <w:pPr>
        <w:autoSpaceDE w:val="0"/>
        <w:autoSpaceDN w:val="0"/>
        <w:adjustRightInd w:val="0"/>
        <w:spacing w:before="240" w:after="240"/>
        <w:jc w:val="both"/>
      </w:pPr>
      <m:oMathPara>
        <m:oMath>
          <m:r>
            <w:rPr>
              <w:rFonts w:ascii="Cambria Math" w:hAnsi="Cambria Math"/>
            </w:rPr>
            <m:t>P</m:t>
          </m:r>
          <m:r>
            <w:rPr>
              <w:rFonts w:ascii="Cambria Math"/>
            </w:rPr>
            <m:t>=</m:t>
          </m:r>
          <m:f>
            <m:fPr>
              <m:ctrlPr>
                <w:rPr>
                  <w:rFonts w:ascii="Cambria Math" w:hAnsi="Cambria Math"/>
                  <w:i/>
                </w:rPr>
              </m:ctrlPr>
            </m:fPr>
            <m:num>
              <m:r>
                <w:rPr>
                  <w:rFonts w:ascii="Cambria Math"/>
                </w:rPr>
                <m:t>1</m:t>
              </m:r>
            </m:num>
            <m:den>
              <m:r>
                <w:rPr>
                  <w:rFonts w:ascii="Cambria Math"/>
                </w:rPr>
                <m:t>1+</m:t>
              </m:r>
              <m:sSup>
                <m:sSupPr>
                  <m:ctrlPr>
                    <w:rPr>
                      <w:rFonts w:ascii="Cambria Math" w:hAnsi="Cambria Math"/>
                      <w:i/>
                    </w:rPr>
                  </m:ctrlPr>
                </m:sSupPr>
                <m:e>
                  <m:r>
                    <w:rPr>
                      <w:rFonts w:ascii="Cambria Math" w:hAnsi="Cambria Math"/>
                    </w:rPr>
                    <m:t>e</m:t>
                  </m:r>
                </m:e>
                <m:sup>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i</m:t>
                      </m:r>
                    </m:sub>
                  </m:sSub>
                </m:sup>
              </m:sSup>
            </m:den>
          </m:f>
          <m:r>
            <w:rPr>
              <w:rFonts w:asci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z</m:t>
                  </m:r>
                </m:sup>
              </m:sSup>
            </m:num>
            <m:den>
              <m:r>
                <w:rPr>
                  <w:rFonts w:ascii="Cambria Math"/>
                </w:rPr>
                <m:t>1+</m:t>
              </m:r>
              <m:sSup>
                <m:sSupPr>
                  <m:ctrlPr>
                    <w:rPr>
                      <w:rFonts w:ascii="Cambria Math" w:hAnsi="Cambria Math"/>
                      <w:i/>
                    </w:rPr>
                  </m:ctrlPr>
                </m:sSupPr>
                <m:e>
                  <m:r>
                    <w:rPr>
                      <w:rFonts w:ascii="Cambria Math" w:hAnsi="Cambria Math"/>
                    </w:rPr>
                    <m:t>e</m:t>
                  </m:r>
                </m:e>
                <m:sup>
                  <m:r>
                    <w:rPr>
                      <w:rFonts w:ascii="Cambria Math" w:hAnsi="Cambria Math"/>
                    </w:rPr>
                    <m:t>z</m:t>
                  </m:r>
                </m:sup>
              </m:sSup>
            </m:den>
          </m:f>
          <m:r>
            <w:rPr>
              <w:rFonts w:ascii="Cambria Math"/>
            </w:rPr>
            <m:t xml:space="preserve">                                                                         (2)</m:t>
          </m:r>
        </m:oMath>
      </m:oMathPara>
    </w:p>
    <w:p w:rsidR="004E656C" w:rsidRPr="00DD6EC5" w:rsidRDefault="004E656C" w:rsidP="004E656C">
      <w:pPr>
        <w:autoSpaceDE w:val="0"/>
        <w:autoSpaceDN w:val="0"/>
        <w:adjustRightInd w:val="0"/>
        <w:spacing w:before="240" w:after="240"/>
        <w:jc w:val="both"/>
      </w:pPr>
    </w:p>
    <w:p w:rsidR="00111DC4" w:rsidRPr="00DD6EC5" w:rsidRDefault="00111DC4" w:rsidP="004E656C">
      <w:pPr>
        <w:autoSpaceDE w:val="0"/>
        <w:autoSpaceDN w:val="0"/>
        <w:adjustRightInd w:val="0"/>
        <w:spacing w:before="240" w:after="240"/>
        <w:jc w:val="both"/>
      </w:pPr>
      <w:r w:rsidRPr="00DD6EC5">
        <w:t>If P represents the probability of occurrence (say improvement in livelihood), the probability of not occurrence can be expressed as:</w:t>
      </w:r>
    </w:p>
    <w:p w:rsidR="004E656C" w:rsidRPr="00DD6EC5" w:rsidRDefault="004E656C" w:rsidP="004E656C">
      <w:pPr>
        <w:autoSpaceDE w:val="0"/>
        <w:autoSpaceDN w:val="0"/>
        <w:adjustRightInd w:val="0"/>
        <w:spacing w:before="240" w:after="240"/>
        <w:jc w:val="both"/>
      </w:pPr>
    </w:p>
    <w:p w:rsidR="00111DC4" w:rsidRPr="00DD6EC5" w:rsidRDefault="00111DC4" w:rsidP="004E656C">
      <w:pPr>
        <w:autoSpaceDE w:val="0"/>
        <w:autoSpaceDN w:val="0"/>
        <w:adjustRightInd w:val="0"/>
        <w:jc w:val="both"/>
      </w:pPr>
      <m:oMathPara>
        <m:oMath>
          <m:r>
            <w:rPr>
              <w:rFonts w:ascii="Cambria Math"/>
            </w:rPr>
            <m:t>1</m:t>
          </m:r>
          <m:r>
            <w:rPr>
              <w:rFonts w:ascii="Cambria Math" w:hAnsi="Cambria Math"/>
            </w:rPr>
            <m:t>-P</m:t>
          </m:r>
          <m:r>
            <w:rPr>
              <w:rFonts w:ascii="Cambria Math"/>
            </w:rPr>
            <m:t>=</m:t>
          </m:r>
          <m:f>
            <m:fPr>
              <m:ctrlPr>
                <w:rPr>
                  <w:rFonts w:ascii="Cambria Math" w:hAnsi="Cambria Math"/>
                  <w:i/>
                </w:rPr>
              </m:ctrlPr>
            </m:fPr>
            <m:num>
              <m:r>
                <w:rPr>
                  <w:rFonts w:ascii="Cambria Math"/>
                </w:rPr>
                <m:t>1</m:t>
              </m:r>
            </m:num>
            <m:den>
              <m:r>
                <w:rPr>
                  <w:rFonts w:ascii="Cambria Math"/>
                </w:rPr>
                <m:t>1+</m:t>
              </m:r>
              <m:sSup>
                <m:sSupPr>
                  <m:ctrlPr>
                    <w:rPr>
                      <w:rFonts w:ascii="Cambria Math" w:hAnsi="Cambria Math"/>
                      <w:i/>
                    </w:rPr>
                  </m:ctrlPr>
                </m:sSupPr>
                <m:e>
                  <m:r>
                    <w:rPr>
                      <w:rFonts w:ascii="Cambria Math" w:hAnsi="Cambria Math"/>
                    </w:rPr>
                    <m:t>e</m:t>
                  </m:r>
                </m:e>
                <m:sup>
                  <m:sSub>
                    <m:sSubPr>
                      <m:ctrlPr>
                        <w:rPr>
                          <w:rFonts w:ascii="Cambria Math" w:hAnsi="Cambria Math"/>
                          <w:i/>
                        </w:rPr>
                      </m:ctrlPr>
                    </m:sSubPr>
                    <m:e>
                      <m:r>
                        <w:rPr>
                          <w:rFonts w:ascii="Cambria Math" w:hAnsi="Cambria Math"/>
                        </w:rPr>
                        <m:t>z</m:t>
                      </m:r>
                    </m:e>
                    <m:sub>
                      <m:r>
                        <w:rPr>
                          <w:rFonts w:ascii="Cambria Math" w:hAnsi="Cambria Math"/>
                        </w:rPr>
                        <m:t>i</m:t>
                      </m:r>
                    </m:sub>
                  </m:sSub>
                </m:sup>
              </m:sSup>
            </m:den>
          </m:f>
          <m:r>
            <w:rPr>
              <w:rFonts w:ascii="Cambria Math"/>
            </w:rPr>
            <m:t xml:space="preserve">                                                                                     (3)</m:t>
          </m:r>
        </m:oMath>
      </m:oMathPara>
    </w:p>
    <w:p w:rsidR="00111DC4" w:rsidRPr="00DD6EC5" w:rsidRDefault="00111DC4" w:rsidP="00111DC4">
      <w:pPr>
        <w:autoSpaceDE w:val="0"/>
        <w:autoSpaceDN w:val="0"/>
        <w:adjustRightInd w:val="0"/>
        <w:jc w:val="both"/>
      </w:pPr>
    </w:p>
    <w:p w:rsidR="004E656C" w:rsidRPr="00DD6EC5" w:rsidRDefault="004E656C" w:rsidP="00111DC4">
      <w:pPr>
        <w:autoSpaceDE w:val="0"/>
        <w:autoSpaceDN w:val="0"/>
        <w:adjustRightInd w:val="0"/>
        <w:jc w:val="both"/>
      </w:pPr>
    </w:p>
    <w:p w:rsidR="00111DC4" w:rsidRPr="00DD6EC5" w:rsidRDefault="00111DC4" w:rsidP="00111DC4">
      <w:pPr>
        <w:autoSpaceDE w:val="0"/>
        <w:autoSpaceDN w:val="0"/>
        <w:adjustRightInd w:val="0"/>
        <w:jc w:val="both"/>
      </w:pPr>
      <w:r w:rsidRPr="00DD6EC5">
        <w:t>Hence the odds ratio between the probabilities of occurrence and non-occurrence can be expressed as:</w:t>
      </w:r>
    </w:p>
    <w:p w:rsidR="004E656C" w:rsidRPr="00DD6EC5" w:rsidRDefault="004E656C" w:rsidP="00111DC4">
      <w:pPr>
        <w:autoSpaceDE w:val="0"/>
        <w:autoSpaceDN w:val="0"/>
        <w:adjustRightInd w:val="0"/>
        <w:jc w:val="both"/>
      </w:pPr>
    </w:p>
    <w:p w:rsidR="00111DC4" w:rsidRPr="00DD6EC5" w:rsidRDefault="00C156E3" w:rsidP="004E656C">
      <w:pPr>
        <w:autoSpaceDE w:val="0"/>
        <w:autoSpaceDN w:val="0"/>
        <w:adjustRightInd w:val="0"/>
        <w:jc w:val="both"/>
      </w:pPr>
      <m:oMathPara>
        <m:oMath>
          <m:f>
            <m:fPr>
              <m:ctrlPr>
                <w:rPr>
                  <w:rFonts w:ascii="Cambria Math" w:hAnsi="Cambria Math"/>
                  <w:i/>
                </w:rPr>
              </m:ctrlPr>
            </m:fPr>
            <m:num>
              <m:r>
                <w:rPr>
                  <w:rFonts w:ascii="Cambria Math" w:hAnsi="Cambria Math"/>
                </w:rPr>
                <m:t>P</m:t>
              </m:r>
            </m:num>
            <m:den>
              <m:r>
                <w:rPr>
                  <w:rFonts w:ascii="Cambria Math"/>
                </w:rPr>
                <m:t>1</m:t>
              </m:r>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den>
          </m:f>
          <m:r>
            <w:rPr>
              <w:rFonts w:ascii="Cambria Math"/>
            </w:rPr>
            <m:t>=</m:t>
          </m:r>
          <m:f>
            <m:fPr>
              <m:ctrlPr>
                <w:rPr>
                  <w:rFonts w:ascii="Cambria Math" w:hAnsi="Cambria Math"/>
                  <w:i/>
                </w:rPr>
              </m:ctrlPr>
            </m:fPr>
            <m:num>
              <m:r>
                <w:rPr>
                  <w:rFonts w:ascii="Cambria Math"/>
                </w:rPr>
                <m:t>1+</m:t>
              </m:r>
              <m:sSup>
                <m:sSupPr>
                  <m:ctrlPr>
                    <w:rPr>
                      <w:rFonts w:ascii="Cambria Math" w:hAnsi="Cambria Math"/>
                      <w:i/>
                    </w:rPr>
                  </m:ctrlPr>
                </m:sSupPr>
                <m:e>
                  <m:r>
                    <w:rPr>
                      <w:rFonts w:ascii="Cambria Math" w:hAnsi="Cambria Math"/>
                    </w:rPr>
                    <m:t>e</m:t>
                  </m:r>
                </m:e>
                <m:sup>
                  <m:sSub>
                    <m:sSubPr>
                      <m:ctrlPr>
                        <w:rPr>
                          <w:rFonts w:ascii="Cambria Math" w:hAnsi="Cambria Math"/>
                          <w:i/>
                        </w:rPr>
                      </m:ctrlPr>
                    </m:sSubPr>
                    <m:e>
                      <m:r>
                        <w:rPr>
                          <w:rFonts w:ascii="Cambria Math" w:hAnsi="Cambria Math"/>
                        </w:rPr>
                        <m:t>z</m:t>
                      </m:r>
                    </m:e>
                    <m:sub>
                      <m:r>
                        <w:rPr>
                          <w:rFonts w:ascii="Cambria Math" w:hAnsi="Cambria Math"/>
                        </w:rPr>
                        <m:t>i</m:t>
                      </m:r>
                    </m:sub>
                  </m:sSub>
                </m:sup>
              </m:sSup>
            </m:num>
            <m:den>
              <m:r>
                <w:rPr>
                  <w:rFonts w:ascii="Cambria Math"/>
                </w:rPr>
                <m:t>1+</m:t>
              </m:r>
              <m:sSup>
                <m:sSupPr>
                  <m:ctrlPr>
                    <w:rPr>
                      <w:rFonts w:ascii="Cambria Math" w:hAnsi="Cambria Math"/>
                      <w:i/>
                    </w:rPr>
                  </m:ctrlPr>
                </m:sSupPr>
                <m:e>
                  <m:r>
                    <w:rPr>
                      <w:rFonts w:ascii="Cambria Math" w:hAnsi="Cambria Math"/>
                    </w:rPr>
                    <m:t>e</m:t>
                  </m:r>
                </m:e>
                <m:sup>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i</m:t>
                      </m:r>
                    </m:sub>
                  </m:sSub>
                </m:sup>
              </m:sSup>
            </m:den>
          </m:f>
          <m:r>
            <w:rPr>
              <w:rFonts w:ascii="Cambria Math"/>
            </w:rPr>
            <m:t>=</m:t>
          </m:r>
          <m:sSup>
            <m:sSupPr>
              <m:ctrlPr>
                <w:rPr>
                  <w:rFonts w:ascii="Cambria Math" w:hAnsi="Cambria Math"/>
                  <w:i/>
                </w:rPr>
              </m:ctrlPr>
            </m:sSupPr>
            <m:e>
              <m:r>
                <w:rPr>
                  <w:rFonts w:ascii="Cambria Math" w:hAnsi="Cambria Math"/>
                </w:rPr>
                <m:t>e</m:t>
              </m:r>
            </m:e>
            <m:sup>
              <m:sSub>
                <m:sSubPr>
                  <m:ctrlPr>
                    <w:rPr>
                      <w:rFonts w:ascii="Cambria Math" w:hAnsi="Cambria Math"/>
                      <w:i/>
                    </w:rPr>
                  </m:ctrlPr>
                </m:sSubPr>
                <m:e>
                  <m:r>
                    <w:rPr>
                      <w:rFonts w:ascii="Cambria Math" w:hAnsi="Cambria Math"/>
                    </w:rPr>
                    <m:t>z</m:t>
                  </m:r>
                </m:e>
                <m:sub>
                  <m:r>
                    <w:rPr>
                      <w:rFonts w:ascii="Cambria Math" w:hAnsi="Cambria Math"/>
                    </w:rPr>
                    <m:t>i</m:t>
                  </m:r>
                </m:sub>
              </m:sSub>
            </m:sup>
          </m:sSup>
          <m:r>
            <w:rPr>
              <w:rFonts w:ascii="Cambria Math"/>
            </w:rPr>
            <m:t xml:space="preserve">                                                                       (4)</m:t>
          </m:r>
        </m:oMath>
      </m:oMathPara>
    </w:p>
    <w:p w:rsidR="009042EF" w:rsidRDefault="009042EF" w:rsidP="00111DC4">
      <w:pPr>
        <w:autoSpaceDE w:val="0"/>
        <w:autoSpaceDN w:val="0"/>
        <w:adjustRightInd w:val="0"/>
        <w:jc w:val="both"/>
      </w:pPr>
    </w:p>
    <w:p w:rsidR="009042EF" w:rsidRDefault="009042EF" w:rsidP="00111DC4">
      <w:pPr>
        <w:autoSpaceDE w:val="0"/>
        <w:autoSpaceDN w:val="0"/>
        <w:adjustRightInd w:val="0"/>
        <w:jc w:val="both"/>
      </w:pPr>
    </w:p>
    <w:p w:rsidR="00111DC4" w:rsidRDefault="00111DC4" w:rsidP="00111DC4">
      <w:pPr>
        <w:autoSpaceDE w:val="0"/>
        <w:autoSpaceDN w:val="0"/>
        <w:adjustRightInd w:val="0"/>
        <w:jc w:val="both"/>
      </w:pPr>
      <w:r w:rsidRPr="00DD6EC5">
        <w:t>Where</w:t>
      </w:r>
      <w:r w:rsidR="009042EF">
        <w:t>:</w:t>
      </w:r>
      <w:r w:rsidRPr="00DD6EC5">
        <w:t xml:space="preserve"> Pi/(1-Pi) represents the odds ratio of improvement in livelihood. That is the ratio of the probability that a household experiences improvement in livelihood to the probability of otherwise. Taking the natural log of equation (4) we obtained the following expression as:</w:t>
      </w:r>
    </w:p>
    <w:p w:rsidR="009042EF" w:rsidRPr="00DD6EC5" w:rsidRDefault="009042EF" w:rsidP="00111DC4">
      <w:pPr>
        <w:autoSpaceDE w:val="0"/>
        <w:autoSpaceDN w:val="0"/>
        <w:adjustRightInd w:val="0"/>
        <w:jc w:val="both"/>
      </w:pPr>
    </w:p>
    <w:p w:rsidR="004E656C" w:rsidRPr="00DD6EC5" w:rsidRDefault="004E656C" w:rsidP="00111DC4">
      <w:pPr>
        <w:autoSpaceDE w:val="0"/>
        <w:autoSpaceDN w:val="0"/>
        <w:adjustRightInd w:val="0"/>
        <w:jc w:val="both"/>
      </w:pPr>
    </w:p>
    <w:p w:rsidR="00111DC4" w:rsidRPr="00DD6EC5" w:rsidRDefault="00C156E3" w:rsidP="004E656C">
      <w:pPr>
        <w:autoSpaceDE w:val="0"/>
        <w:autoSpaceDN w:val="0"/>
        <w:adjustRightInd w:val="0"/>
        <w:jc w:val="both"/>
      </w:pPr>
      <m:oMathPara>
        <m:oMath>
          <m:sSub>
            <m:sSubPr>
              <m:ctrlPr>
                <w:rPr>
                  <w:rFonts w:ascii="Cambria Math" w:hAnsi="Cambria Math"/>
                  <w:i/>
                </w:rPr>
              </m:ctrlPr>
            </m:sSubPr>
            <m:e>
              <m:r>
                <w:rPr>
                  <w:rFonts w:ascii="Cambria Math" w:hAnsi="Cambria Math"/>
                </w:rPr>
                <m:t>L</m:t>
              </m:r>
            </m:e>
            <m:sub>
              <m:r>
                <w:rPr>
                  <w:rFonts w:ascii="Cambria Math" w:hAnsi="Cambria Math"/>
                </w:rPr>
                <m:t>i</m:t>
              </m:r>
            </m:sub>
          </m:sSub>
          <m:r>
            <w:rPr>
              <w:rFonts w:ascii="Cambria Math"/>
            </w:rPr>
            <m:t>=</m:t>
          </m:r>
          <m:func>
            <m:funcPr>
              <m:ctrlPr>
                <w:rPr>
                  <w:rFonts w:ascii="Cambria Math" w:hAnsi="Cambria Math"/>
                </w:rPr>
              </m:ctrlPr>
            </m:funcPr>
            <m:fName>
              <m:r>
                <m:rPr>
                  <m:sty m:val="p"/>
                </m:rPr>
                <w:rPr>
                  <w:rFonts w:ascii="Cambria Math"/>
                </w:rPr>
                <m:t>ln</m:t>
              </m:r>
            </m:fName>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i</m:t>
                          </m:r>
                        </m:sub>
                      </m:sSub>
                    </m:num>
                    <m:den>
                      <m:r>
                        <w:rPr>
                          <w:rFonts w:ascii="Cambria Math"/>
                        </w:rPr>
                        <m:t>1</m:t>
                      </m:r>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den>
                  </m:f>
                </m:e>
              </m:d>
            </m:e>
          </m:func>
          <m:r>
            <w:rPr>
              <w:rFonts w:ascii="Cambria Math"/>
            </w:rPr>
            <m:t>=</m:t>
          </m:r>
          <m:r>
            <w:rPr>
              <w:rFonts w:ascii="Cambria Math" w:hAnsi="Cambria Math"/>
            </w:rPr>
            <m:t>Z</m:t>
          </m:r>
          <m:r>
            <w:rPr>
              <w:rFonts w:ascii="Cambria Math"/>
            </w:rPr>
            <m:t>=</m:t>
          </m:r>
          <m:sSub>
            <m:sSubPr>
              <m:ctrlPr>
                <w:rPr>
                  <w:rFonts w:ascii="Cambria Math" w:hAnsi="Cambria Math"/>
                  <w:i/>
                </w:rPr>
              </m:ctrlPr>
            </m:sSubPr>
            <m:e>
              <m:r>
                <w:rPr>
                  <w:rFonts w:ascii="Cambria Math" w:hAnsi="Cambria Math"/>
                </w:rPr>
                <m:t>β</m:t>
              </m:r>
            </m:e>
            <m:sub>
              <m:r>
                <w:rPr>
                  <w:rFonts w:ascii="Cambria Math"/>
                </w:rPr>
                <m:t>1</m:t>
              </m:r>
            </m:sub>
          </m:sSub>
          <m:r>
            <w:rPr>
              <w:rFonts w:ascii="Cambria Math"/>
            </w:rPr>
            <m:t>+</m:t>
          </m:r>
          <m:sSub>
            <m:sSubPr>
              <m:ctrlPr>
                <w:rPr>
                  <w:rFonts w:ascii="Cambria Math" w:hAnsi="Cambria Math"/>
                  <w:i/>
                </w:rPr>
              </m:ctrlPr>
            </m:sSubPr>
            <m:e>
              <m:r>
                <w:rPr>
                  <w:rFonts w:ascii="Cambria Math" w:hAnsi="Cambria Math"/>
                </w:rPr>
                <m:t>β</m:t>
              </m:r>
            </m:e>
            <m:sub>
              <m:r>
                <w:rPr>
                  <w:rFonts w:ascii="Cambria Math"/>
                </w:rPr>
                <m:t>2</m:t>
              </m:r>
            </m:sub>
          </m:sSub>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rPr>
            <m:t xml:space="preserve">                                                     (5)</m:t>
          </m:r>
        </m:oMath>
      </m:oMathPara>
    </w:p>
    <w:p w:rsidR="004E656C" w:rsidRPr="00DD6EC5" w:rsidRDefault="004E656C" w:rsidP="00111DC4">
      <w:pPr>
        <w:autoSpaceDE w:val="0"/>
        <w:autoSpaceDN w:val="0"/>
        <w:adjustRightInd w:val="0"/>
        <w:jc w:val="both"/>
      </w:pPr>
    </w:p>
    <w:p w:rsidR="00111DC4" w:rsidRPr="00DD6EC5" w:rsidRDefault="00111DC4" w:rsidP="00111DC4">
      <w:pPr>
        <w:autoSpaceDE w:val="0"/>
        <w:autoSpaceDN w:val="0"/>
        <w:adjustRightInd w:val="0"/>
        <w:jc w:val="both"/>
      </w:pPr>
      <w:r w:rsidRPr="00DD6EC5">
        <w:t>Where:</w:t>
      </w:r>
    </w:p>
    <w:p w:rsidR="00111DC4" w:rsidRPr="00DD6EC5" w:rsidRDefault="00111DC4" w:rsidP="00111DC4">
      <w:pPr>
        <w:autoSpaceDE w:val="0"/>
        <w:autoSpaceDN w:val="0"/>
        <w:adjustRightInd w:val="0"/>
        <w:jc w:val="both"/>
      </w:pPr>
      <w:r w:rsidRPr="00DD6EC5">
        <w:t xml:space="preserve">L means the log of odds ratios, equation (5) represents what is known as the logit model which is used when the dependent variable takes a binary value; 0 or 1. </w:t>
      </w:r>
    </w:p>
    <w:p w:rsidR="004E656C" w:rsidRPr="00DD6EC5" w:rsidRDefault="004E656C" w:rsidP="00111DC4">
      <w:pPr>
        <w:autoSpaceDE w:val="0"/>
        <w:autoSpaceDN w:val="0"/>
        <w:adjustRightInd w:val="0"/>
        <w:jc w:val="both"/>
      </w:pPr>
    </w:p>
    <w:p w:rsidR="00111DC4" w:rsidRPr="00FA0E55" w:rsidRDefault="00111DC4" w:rsidP="00111DC4">
      <w:pPr>
        <w:jc w:val="both"/>
        <w:rPr>
          <w:b/>
          <w:sz w:val="24"/>
        </w:rPr>
      </w:pPr>
      <w:r w:rsidRPr="00FA0E55">
        <w:rPr>
          <w:b/>
          <w:sz w:val="24"/>
        </w:rPr>
        <w:t>3.3</w:t>
      </w:r>
      <w:r w:rsidRPr="00FA0E55">
        <w:rPr>
          <w:b/>
          <w:sz w:val="24"/>
        </w:rPr>
        <w:tab/>
        <w:t xml:space="preserve">Specification of the Empirical Logit Models </w:t>
      </w:r>
    </w:p>
    <w:p w:rsidR="00DD6EC5" w:rsidRPr="00DD6EC5" w:rsidRDefault="00111DC4" w:rsidP="00111DC4">
      <w:pPr>
        <w:jc w:val="both"/>
      </w:pPr>
      <w:r w:rsidRPr="00DD6EC5">
        <w:t xml:space="preserve">Leveraging on the applications of logistic regression models by numerous researchers, this study draws from the models by </w:t>
      </w:r>
      <w:bookmarkStart w:id="7" w:name="_Hlk110661323"/>
      <w:r w:rsidRPr="00DD6EC5">
        <w:t>Miazur (2010) Khan (2014) and Bhuiyan et al. (2015)</w:t>
      </w:r>
      <w:bookmarkEnd w:id="7"/>
      <w:r w:rsidRPr="00DD6EC5">
        <w:t xml:space="preserve"> Danlami et al. (2024) and integrated a number of important variables to suit the purpose of this investigation. Here, the logistic regression model seeks to assess the impact of investment from non-interest facility and other determinants on household’s income. The dependent variable is the </w:t>
      </w:r>
      <w:r w:rsidRPr="00DD6EC5">
        <w:lastRenderedPageBreak/>
        <w:t>change in the level of income witnessed by the beneficiaries of non-interest facility. The household change in income model is specified as:</w:t>
      </w:r>
    </w:p>
    <w:p w:rsidR="00111DC4" w:rsidRPr="00DD6EC5" w:rsidRDefault="00111DC4" w:rsidP="00111DC4">
      <w:pPr>
        <w:jc w:val="both"/>
      </w:pPr>
      <w:r w:rsidRPr="00DD6EC5">
        <w:t xml:space="preserve"> </w:t>
      </w:r>
    </w:p>
    <w:p w:rsidR="00111DC4" w:rsidRPr="00DD6EC5" w:rsidRDefault="00111DC4" w:rsidP="00111DC4">
      <w:pPr>
        <w:jc w:val="both"/>
      </w:pPr>
      <m:oMath>
        <m:r>
          <w:rPr>
            <w:rFonts w:ascii="Cambria Math" w:hAnsi="Cambria Math"/>
          </w:rPr>
          <m:t>Ln</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i</m:t>
                    </m:r>
                    <m:r>
                      <w:rPr>
                        <w:rFonts w:ascii="Cambria Math"/>
                      </w:rPr>
                      <m:t xml:space="preserve"> </m:t>
                    </m:r>
                  </m:sub>
                </m:sSub>
              </m:num>
              <m:den>
                <m:r>
                  <w:rPr>
                    <w:rFonts w:ascii="Cambria Math"/>
                  </w:rPr>
                  <m:t>1</m:t>
                </m:r>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den>
            </m:f>
          </m:e>
        </m:d>
        <m:r>
          <w:rPr>
            <w:rFonts w:asci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o</m:t>
            </m:r>
          </m:sub>
        </m:sSub>
        <m:r>
          <w:rPr>
            <w:rFonts w:ascii="Cambria Math"/>
          </w:rPr>
          <m:t>+</m:t>
        </m:r>
        <m:sSub>
          <m:sSubPr>
            <m:ctrlPr>
              <w:rPr>
                <w:rFonts w:ascii="Cambria Math" w:hAnsi="Cambria Math"/>
                <w:i/>
              </w:rPr>
            </m:ctrlPr>
          </m:sSubPr>
          <m:e>
            <m:r>
              <w:rPr>
                <w:rFonts w:ascii="Cambria Math" w:hAnsi="Cambria Math"/>
              </w:rPr>
              <m:t>β</m:t>
            </m:r>
          </m:e>
          <m:sub>
            <m:r>
              <w:rPr>
                <w:rFonts w:ascii="Cambria Math"/>
              </w:rPr>
              <m:t>1</m:t>
            </m:r>
          </m:sub>
        </m:sSub>
        <m:r>
          <w:rPr>
            <w:rFonts w:ascii="Cambria Math" w:hAnsi="Cambria Math"/>
          </w:rPr>
          <m:t>AG</m:t>
        </m:r>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rPr>
          <m:t>+</m:t>
        </m:r>
        <m:sSub>
          <m:sSubPr>
            <m:ctrlPr>
              <w:rPr>
                <w:rFonts w:ascii="Cambria Math" w:hAnsi="Cambria Math"/>
                <w:i/>
              </w:rPr>
            </m:ctrlPr>
          </m:sSubPr>
          <m:e>
            <m:r>
              <w:rPr>
                <w:rFonts w:ascii="Cambria Math" w:hAnsi="Cambria Math"/>
              </w:rPr>
              <m:t>β</m:t>
            </m:r>
          </m:e>
          <m:sub>
            <m:r>
              <w:rPr>
                <w:rFonts w:ascii="Cambria Math"/>
              </w:rPr>
              <m:t>2</m:t>
            </m:r>
          </m:sub>
        </m:sSub>
        <m:r>
          <w:rPr>
            <w:rFonts w:ascii="Cambria Math" w:hAnsi="Cambria Math"/>
          </w:rPr>
          <m:t>HH</m:t>
        </m:r>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rPr>
          <m:t xml:space="preserve"> +</m:t>
        </m:r>
        <m:sSub>
          <m:sSubPr>
            <m:ctrlPr>
              <w:rPr>
                <w:rFonts w:ascii="Cambria Math" w:hAnsi="Cambria Math"/>
                <w:i/>
              </w:rPr>
            </m:ctrlPr>
          </m:sSubPr>
          <m:e>
            <m:r>
              <w:rPr>
                <w:rFonts w:ascii="Cambria Math" w:hAnsi="Cambria Math"/>
              </w:rPr>
              <m:t>β</m:t>
            </m:r>
          </m:e>
          <m:sub>
            <m:r>
              <w:rPr>
                <w:rFonts w:ascii="Cambria Math"/>
              </w:rPr>
              <m:t>3</m:t>
            </m:r>
          </m:sub>
        </m:sSub>
        <m:r>
          <w:rPr>
            <w:rFonts w:ascii="Cambria Math"/>
          </w:rPr>
          <m:t>MSTATU</m:t>
        </m:r>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rPr>
          <m:t xml:space="preserve"> +</m:t>
        </m:r>
        <m:sSub>
          <m:sSubPr>
            <m:ctrlPr>
              <w:rPr>
                <w:rFonts w:ascii="Cambria Math" w:hAnsi="Cambria Math"/>
                <w:i/>
              </w:rPr>
            </m:ctrlPr>
          </m:sSubPr>
          <m:e>
            <m:r>
              <w:rPr>
                <w:rFonts w:ascii="Cambria Math" w:hAnsi="Cambria Math"/>
              </w:rPr>
              <m:t>β</m:t>
            </m:r>
          </m:e>
          <m:sub>
            <m:r>
              <w:rPr>
                <w:rFonts w:ascii="Cambria Math"/>
              </w:rPr>
              <m:t>4</m:t>
            </m:r>
          </m:sub>
        </m:sSub>
        <m:r>
          <w:rPr>
            <w:rFonts w:ascii="Cambria Math"/>
          </w:rPr>
          <m:t>GN</m:t>
        </m:r>
        <m:sSub>
          <m:sSubPr>
            <m:ctrlPr>
              <w:rPr>
                <w:rFonts w:ascii="Cambria Math" w:hAnsi="Cambria Math"/>
                <w:i/>
              </w:rPr>
            </m:ctrlPr>
          </m:sSubPr>
          <m:e>
            <m:r>
              <w:rPr>
                <w:rFonts w:ascii="Cambria Math"/>
              </w:rPr>
              <m:t>D</m:t>
            </m:r>
          </m:e>
          <m:sub>
            <m:r>
              <w:rPr>
                <w:rFonts w:ascii="Cambria Math" w:hAnsi="Cambria Math"/>
              </w:rPr>
              <m:t>i</m:t>
            </m:r>
          </m:sub>
        </m:sSub>
        <m:r>
          <w:rPr>
            <w:rFonts w:ascii="Cambria Math"/>
          </w:rPr>
          <m:t xml:space="preserve"> +</m:t>
        </m:r>
        <m:sSub>
          <m:sSubPr>
            <m:ctrlPr>
              <w:rPr>
                <w:rFonts w:ascii="Cambria Math" w:hAnsi="Cambria Math"/>
                <w:i/>
              </w:rPr>
            </m:ctrlPr>
          </m:sSubPr>
          <m:e>
            <m:r>
              <w:rPr>
                <w:rFonts w:ascii="Cambria Math" w:hAnsi="Cambria Math"/>
              </w:rPr>
              <m:t>β</m:t>
            </m:r>
          </m:e>
          <m:sub>
            <m:r>
              <w:rPr>
                <w:rFonts w:ascii="Cambria Math"/>
              </w:rPr>
              <m:t>5</m:t>
            </m:r>
          </m:sub>
        </m:sSub>
        <m:sSub>
          <m:sSubPr>
            <m:ctrlPr>
              <w:rPr>
                <w:rFonts w:ascii="Cambria Math" w:hAnsi="Cambria Math"/>
                <w:i/>
              </w:rPr>
            </m:ctrlPr>
          </m:sSubPr>
          <m:e>
            <m:r>
              <w:rPr>
                <w:rFonts w:ascii="Cambria Math" w:hAnsi="Cambria Math"/>
              </w:rPr>
              <m:t>CFA</m:t>
            </m:r>
          </m:e>
          <m:sub>
            <m:r>
              <w:rPr>
                <w:rFonts w:ascii="Cambria Math" w:hAnsi="Cambria Math"/>
              </w:rPr>
              <m:t>i</m:t>
            </m:r>
          </m:sub>
        </m:sSub>
        <m:r>
          <w:rPr>
            <w:rFonts w:ascii="Cambria Math"/>
          </w:rPr>
          <m:t>+</m:t>
        </m:r>
        <m:sSub>
          <m:sSubPr>
            <m:ctrlPr>
              <w:rPr>
                <w:rFonts w:ascii="Cambria Math" w:hAnsi="Cambria Math"/>
                <w:i/>
              </w:rPr>
            </m:ctrlPr>
          </m:sSubPr>
          <m:e>
            <m:r>
              <w:rPr>
                <w:rFonts w:ascii="Cambria Math" w:hAnsi="Cambria Math"/>
              </w:rPr>
              <m:t>β</m:t>
            </m:r>
          </m:e>
          <m:sub>
            <m:r>
              <w:rPr>
                <w:rFonts w:ascii="Cambria Math"/>
              </w:rPr>
              <m:t>6</m:t>
            </m:r>
          </m:sub>
        </m:sSub>
        <m:sSub>
          <m:sSubPr>
            <m:ctrlPr>
              <w:rPr>
                <w:rFonts w:ascii="Cambria Math" w:hAnsi="Cambria Math"/>
                <w:i/>
              </w:rPr>
            </m:ctrlPr>
          </m:sSubPr>
          <m:e>
            <m:r>
              <w:rPr>
                <w:rFonts w:ascii="Cambria Math" w:hAnsi="Cambria Math"/>
              </w:rPr>
              <m:t>NRPI</m:t>
            </m:r>
          </m:e>
          <m:sub>
            <m:r>
              <w:rPr>
                <w:rFonts w:ascii="Cambria Math" w:hAnsi="Cambria Math"/>
              </w:rPr>
              <m:t>i</m:t>
            </m:r>
          </m:sub>
        </m:sSub>
        <m:r>
          <w:rPr>
            <w:rFonts w:ascii="Cambria Math"/>
          </w:rPr>
          <m:t xml:space="preserve">+ </m:t>
        </m:r>
        <m:sSub>
          <m:sSubPr>
            <m:ctrlPr>
              <w:rPr>
                <w:rFonts w:ascii="Cambria Math" w:hAnsi="Cambria Math"/>
                <w:i/>
              </w:rPr>
            </m:ctrlPr>
          </m:sSubPr>
          <m:e>
            <m:r>
              <w:rPr>
                <w:rFonts w:ascii="Cambria Math" w:hAnsi="Cambria Math"/>
              </w:rPr>
              <m:t>β</m:t>
            </m:r>
          </m:e>
          <m:sub>
            <m:r>
              <w:rPr>
                <w:rFonts w:ascii="Cambria Math"/>
              </w:rPr>
              <m:t>7</m:t>
            </m:r>
          </m:sub>
        </m:sSub>
        <m:r>
          <w:rPr>
            <w:rFonts w:ascii="Cambria Math" w:hAnsi="Cambria Math"/>
          </w:rPr>
          <m:t>LO</m:t>
        </m:r>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rPr>
          <m:t>+</m:t>
        </m:r>
        <m:sSub>
          <m:sSubPr>
            <m:ctrlPr>
              <w:rPr>
                <w:rFonts w:ascii="Cambria Math" w:hAnsi="Cambria Math"/>
                <w:i/>
              </w:rPr>
            </m:ctrlPr>
          </m:sSubPr>
          <m:e>
            <m:r>
              <w:rPr>
                <w:rFonts w:ascii="Cambria Math"/>
              </w:rPr>
              <m:t>+</m:t>
            </m:r>
            <m:r>
              <w:rPr>
                <w:rFonts w:ascii="Cambria Math" w:hAnsi="Cambria Math"/>
              </w:rPr>
              <m:t>β</m:t>
            </m:r>
          </m:e>
          <m:sub>
            <m:r>
              <w:rPr>
                <w:rFonts w:ascii="Cambria Math"/>
              </w:rPr>
              <m:t>8</m:t>
            </m:r>
          </m:sub>
        </m:sSub>
        <m:r>
          <w:rPr>
            <w:rFonts w:ascii="Cambria Math" w:hAnsi="Cambria Math"/>
          </w:rPr>
          <m:t>BE</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rPr>
          <m:t>+</m:t>
        </m:r>
        <m:sSub>
          <m:sSubPr>
            <m:ctrlPr>
              <w:rPr>
                <w:rFonts w:ascii="Cambria Math" w:hAnsi="Cambria Math"/>
                <w:i/>
              </w:rPr>
            </m:ctrlPr>
          </m:sSubPr>
          <m:e>
            <m:r>
              <w:rPr>
                <w:rFonts w:ascii="Cambria Math" w:hAnsi="Cambria Math"/>
              </w:rPr>
              <m:t>β</m:t>
            </m:r>
          </m:e>
          <m:sub>
            <m:r>
              <w:rPr>
                <w:rFonts w:ascii="Cambria Math"/>
              </w:rPr>
              <m:t>9</m:t>
            </m:r>
          </m:sub>
        </m:sSub>
        <m:sSub>
          <m:sSubPr>
            <m:ctrlPr>
              <w:rPr>
                <w:rFonts w:ascii="Cambria Math" w:hAnsi="Cambria Math"/>
                <w:i/>
              </w:rPr>
            </m:ctrlPr>
          </m:sSubPr>
          <m:e>
            <m:r>
              <w:rPr>
                <w:rFonts w:ascii="Cambria Math" w:hAnsi="Cambria Math"/>
              </w:rPr>
              <m:t>TINCB</m:t>
            </m:r>
          </m:e>
          <m:sub>
            <m:r>
              <w:rPr>
                <w:rFonts w:ascii="Cambria Math" w:hAnsi="Cambria Math"/>
              </w:rPr>
              <m:t>i</m:t>
            </m:r>
          </m:sub>
        </m:sSub>
        <m:r>
          <w:rPr>
            <w:rFonts w:ascii="Cambria Math"/>
          </w:rPr>
          <m:t>+</m:t>
        </m:r>
        <m:sSub>
          <m:sSubPr>
            <m:ctrlPr>
              <w:rPr>
                <w:rFonts w:ascii="Cambria Math" w:hAnsi="Cambria Math"/>
                <w:i/>
              </w:rPr>
            </m:ctrlPr>
          </m:sSubPr>
          <m:e>
            <m:r>
              <w:rPr>
                <w:rFonts w:ascii="Cambria Math" w:hAnsi="Cambria Math"/>
              </w:rPr>
              <m:t>β</m:t>
            </m:r>
          </m:e>
          <m:sub>
            <m:r>
              <w:rPr>
                <w:rFonts w:ascii="Cambria Math"/>
              </w:rPr>
              <m:t>10</m:t>
            </m:r>
          </m:sub>
        </m:sSub>
        <m:sSub>
          <m:sSubPr>
            <m:ctrlPr>
              <w:rPr>
                <w:rFonts w:ascii="Cambria Math" w:hAnsi="Cambria Math"/>
                <w:i/>
              </w:rPr>
            </m:ctrlPr>
          </m:sSubPr>
          <m:e>
            <m:r>
              <w:rPr>
                <w:rFonts w:ascii="Cambria Math" w:hAnsi="Cambria Math"/>
              </w:rPr>
              <m:t>TINCA</m:t>
            </m:r>
          </m:e>
          <m:sub>
            <m:r>
              <w:rPr>
                <w:rFonts w:ascii="Cambria Math" w:hAnsi="Cambria Math"/>
              </w:rPr>
              <m:t>i</m:t>
            </m:r>
          </m:sub>
        </m:sSub>
        <m:r>
          <w:rPr>
            <w:rFonts w:ascii="Cambria Math"/>
          </w:rPr>
          <m:t>+</m:t>
        </m:r>
        <m:sSub>
          <m:sSubPr>
            <m:ctrlPr>
              <w:rPr>
                <w:rFonts w:ascii="Cambria Math" w:hAnsi="Cambria Math"/>
                <w:i/>
              </w:rPr>
            </m:ctrlPr>
          </m:sSubPr>
          <m:e>
            <m:r>
              <w:rPr>
                <w:rFonts w:ascii="Cambria Math" w:hAnsi="Cambria Math"/>
              </w:rPr>
              <m:t>β</m:t>
            </m:r>
          </m:e>
          <m:sub>
            <m:r>
              <w:rPr>
                <w:rFonts w:ascii="Cambria Math"/>
              </w:rPr>
              <m:t>11</m:t>
            </m:r>
          </m:sub>
        </m:sSub>
        <m:sSub>
          <m:sSubPr>
            <m:ctrlPr>
              <w:rPr>
                <w:rFonts w:ascii="Cambria Math" w:hAnsi="Cambria Math"/>
                <w:i/>
              </w:rPr>
            </m:ctrlPr>
          </m:sSubPr>
          <m:e>
            <m:r>
              <w:rPr>
                <w:rFonts w:ascii="Cambria Math" w:hAnsi="Cambria Math"/>
              </w:rPr>
              <m:t>INVNIF</m:t>
            </m:r>
          </m:e>
          <m:sub>
            <m:r>
              <w:rPr>
                <w:rFonts w:ascii="Cambria Math" w:hAnsi="Cambria Math"/>
              </w:rPr>
              <m:t>i</m:t>
            </m:r>
          </m:sub>
        </m:sSub>
        <m:r>
          <w:rPr>
            <w:rFonts w:ascii="Cambria Math"/>
          </w:rPr>
          <m:t>+</m:t>
        </m:r>
        <m:sSub>
          <m:sSubPr>
            <m:ctrlPr>
              <w:rPr>
                <w:rFonts w:ascii="Cambria Math" w:hAnsi="Cambria Math"/>
                <w:i/>
              </w:rPr>
            </m:ctrlPr>
          </m:sSubPr>
          <m:e>
            <m:r>
              <w:rPr>
                <w:rFonts w:ascii="Cambria Math" w:hAnsi="Cambria Math"/>
              </w:rPr>
              <m:t>β</m:t>
            </m:r>
          </m:e>
          <m:sub>
            <m:r>
              <w:rPr>
                <w:rFonts w:ascii="Cambria Math"/>
              </w:rPr>
              <m:t>12</m:t>
            </m:r>
          </m:sub>
        </m:sSub>
        <m:sSub>
          <m:sSubPr>
            <m:ctrlPr>
              <w:rPr>
                <w:rFonts w:ascii="Cambria Math" w:hAnsi="Cambria Math"/>
                <w:i/>
              </w:rPr>
            </m:ctrlPr>
          </m:sSubPr>
          <m:e>
            <m:r>
              <w:rPr>
                <w:rFonts w:ascii="Cambria Math" w:hAnsi="Cambria Math"/>
              </w:rPr>
              <m:t>NTNIF</m:t>
            </m:r>
          </m:e>
          <m:sub>
            <m:r>
              <w:rPr>
                <w:rFonts w:ascii="Cambria Math" w:hAnsi="Cambria Math"/>
              </w:rPr>
              <m:t>i</m:t>
            </m:r>
          </m:sub>
        </m:sSub>
        <m:r>
          <w:rPr>
            <w:rFonts w:ascii="Cambria Math"/>
          </w:rPr>
          <m:t>+</m:t>
        </m:r>
        <m:sSub>
          <m:sSubPr>
            <m:ctrlPr>
              <w:rPr>
                <w:rFonts w:ascii="Cambria Math" w:hAnsi="Cambria Math"/>
                <w:i/>
              </w:rPr>
            </m:ctrlPr>
          </m:sSubPr>
          <m:e>
            <m:r>
              <w:rPr>
                <w:rFonts w:ascii="Cambria Math" w:hAnsi="Cambria Math"/>
              </w:rPr>
              <m:t>β</m:t>
            </m:r>
          </m:e>
          <m:sub>
            <m:r>
              <w:rPr>
                <w:rFonts w:ascii="Cambria Math"/>
              </w:rPr>
              <m:t>13</m:t>
            </m:r>
          </m:sub>
        </m:sSub>
        <m:sSub>
          <m:sSubPr>
            <m:ctrlPr>
              <w:rPr>
                <w:rFonts w:ascii="Cambria Math" w:hAnsi="Cambria Math"/>
                <w:i/>
              </w:rPr>
            </m:ctrlPr>
          </m:sSubPr>
          <m:e>
            <m:r>
              <w:rPr>
                <w:rFonts w:ascii="Cambria Math" w:hAnsi="Cambria Math"/>
              </w:rPr>
              <m:t>ACT</m:t>
            </m:r>
          </m:e>
          <m:sub>
            <m:r>
              <w:rPr>
                <w:rFonts w:ascii="Cambria Math" w:hAnsi="Cambria Math"/>
              </w:rPr>
              <m:t>i</m:t>
            </m:r>
          </m:sub>
        </m:sSub>
        <m:r>
          <w:rPr>
            <w:rFonts w:ascii="Cambria Math"/>
          </w:rPr>
          <m:t xml:space="preserve">+ </m:t>
        </m:r>
        <m:sSub>
          <m:sSubPr>
            <m:ctrlPr>
              <w:rPr>
                <w:rFonts w:ascii="Cambria Math" w:hAnsi="Cambria Math"/>
                <w:i/>
              </w:rPr>
            </m:ctrlPr>
          </m:sSubPr>
          <m:e>
            <m:r>
              <w:rPr>
                <w:rFonts w:ascii="Cambria Math" w:hAnsi="Cambria Math"/>
              </w:rPr>
              <m:t>β</m:t>
            </m:r>
          </m:e>
          <m:sub>
            <m:r>
              <w:rPr>
                <w:rFonts w:ascii="Cambria Math"/>
              </w:rPr>
              <m:t>14</m:t>
            </m:r>
          </m:sub>
        </m:sSub>
        <m:sSub>
          <m:sSubPr>
            <m:ctrlPr>
              <w:rPr>
                <w:rFonts w:ascii="Cambria Math" w:hAnsi="Cambria Math"/>
                <w:i/>
              </w:rPr>
            </m:ctrlPr>
          </m:sSubPr>
          <m:e>
            <m:r>
              <w:rPr>
                <w:rFonts w:ascii="Cambria Math" w:hAnsi="Cambria Math"/>
              </w:rPr>
              <m:t>NAB</m:t>
            </m:r>
          </m:e>
          <m:sub>
            <m:r>
              <w:rPr>
                <w:rFonts w:ascii="Cambria Math" w:hAnsi="Cambria Math"/>
              </w:rPr>
              <m:t>i</m:t>
            </m:r>
          </m:sub>
        </m:sSub>
        <m:r>
          <w:rPr>
            <w:rFonts w:ascii="Cambria Math"/>
          </w:rPr>
          <m:t>+</m:t>
        </m:r>
        <m:sSub>
          <m:sSubPr>
            <m:ctrlPr>
              <w:rPr>
                <w:rFonts w:ascii="Cambria Math" w:hAnsi="Cambria Math"/>
                <w:i/>
              </w:rPr>
            </m:ctrlPr>
          </m:sSubPr>
          <m:e>
            <m:r>
              <w:rPr>
                <w:rFonts w:ascii="Cambria Math" w:hAnsi="Cambria Math"/>
              </w:rPr>
              <m:t>β</m:t>
            </m:r>
          </m:e>
          <m:sub>
            <m:r>
              <w:rPr>
                <w:rFonts w:ascii="Cambria Math"/>
              </w:rPr>
              <m:t>15</m:t>
            </m:r>
          </m:sub>
        </m:sSub>
        <m:sSub>
          <m:sSubPr>
            <m:ctrlPr>
              <w:rPr>
                <w:rFonts w:ascii="Cambria Math" w:hAnsi="Cambria Math"/>
                <w:i/>
              </w:rPr>
            </m:ctrlPr>
          </m:sSubPr>
          <m:e>
            <m:r>
              <w:rPr>
                <w:rFonts w:ascii="Cambria Math" w:hAnsi="Cambria Math"/>
              </w:rPr>
              <m:t>NAA</m:t>
            </m:r>
          </m:e>
          <m:sub>
            <m:r>
              <w:rPr>
                <w:rFonts w:ascii="Cambria Math" w:hAnsi="Cambria Math"/>
              </w:rPr>
              <m:t>i</m:t>
            </m:r>
          </m:sub>
        </m:sSub>
        <m:r>
          <w:rPr>
            <w:rFonts w:ascii="Cambria Math"/>
          </w:rPr>
          <m:t>+</m:t>
        </m:r>
        <m:sSub>
          <m:sSubPr>
            <m:ctrlPr>
              <w:rPr>
                <w:rFonts w:ascii="Cambria Math" w:hAnsi="Cambria Math"/>
                <w:i/>
              </w:rPr>
            </m:ctrlPr>
          </m:sSubPr>
          <m:e>
            <m:r>
              <w:rPr>
                <w:rFonts w:ascii="Cambria Math" w:hAnsi="Cambria Math"/>
              </w:rPr>
              <m:t>β</m:t>
            </m:r>
          </m:e>
          <m:sub>
            <m:r>
              <w:rPr>
                <w:rFonts w:ascii="Cambria Math"/>
              </w:rPr>
              <m:t>16</m:t>
            </m:r>
          </m:sub>
        </m:sSub>
        <m:sSub>
          <m:sSubPr>
            <m:ctrlPr>
              <w:rPr>
                <w:rFonts w:ascii="Cambria Math" w:hAnsi="Cambria Math"/>
                <w:i/>
              </w:rPr>
            </m:ctrlPr>
          </m:sSubPr>
          <m:e>
            <m:r>
              <w:rPr>
                <w:rFonts w:ascii="Cambria Math" w:hAnsi="Cambria Math"/>
              </w:rPr>
              <m:t>MCS</m:t>
            </m:r>
          </m:e>
          <m:sub>
            <m:r>
              <w:rPr>
                <w:rFonts w:ascii="Cambria Math" w:hAnsi="Cambria Math"/>
              </w:rPr>
              <m:t>i</m:t>
            </m:r>
          </m:sub>
        </m:sSub>
        <m:r>
          <w:rPr>
            <w:rFonts w:ascii="Cambria Math"/>
          </w:rPr>
          <m:t>+</m:t>
        </m:r>
        <m:sSub>
          <m:sSubPr>
            <m:ctrlPr>
              <w:rPr>
                <w:rFonts w:ascii="Cambria Math" w:hAnsi="Cambria Math"/>
                <w:i/>
              </w:rPr>
            </m:ctrlPr>
          </m:sSubPr>
          <m:e>
            <m:r>
              <w:rPr>
                <w:rFonts w:ascii="Cambria Math" w:hAnsi="Cambria Math"/>
              </w:rPr>
              <m:t>U</m:t>
            </m:r>
          </m:e>
          <m:sub>
            <m:r>
              <w:rPr>
                <w:rFonts w:ascii="Cambria Math" w:hAnsi="Cambria Math"/>
              </w:rPr>
              <m:t>i</m:t>
            </m:r>
          </m:sub>
        </m:sSub>
        <m:r>
          <w:rPr>
            <w:rFonts w:ascii="Cambria Math"/>
          </w:rPr>
          <m:t xml:space="preserve">                                     (6)</m:t>
        </m:r>
      </m:oMath>
      <w:r w:rsidRPr="00DD6EC5">
        <w:tab/>
      </w:r>
    </w:p>
    <w:p w:rsidR="00111DC4" w:rsidRPr="00DD6EC5" w:rsidRDefault="00111DC4" w:rsidP="00111DC4">
      <w:pPr>
        <w:jc w:val="both"/>
      </w:pPr>
    </w:p>
    <w:p w:rsidR="00111DC4" w:rsidRPr="00DD6EC5" w:rsidRDefault="00111DC4" w:rsidP="00111DC4">
      <w:pPr>
        <w:jc w:val="both"/>
      </w:pPr>
      <w:r w:rsidRPr="00DD6EC5">
        <w:tab/>
      </w:r>
      <w:r w:rsidRPr="00DD6EC5">
        <w:tab/>
      </w:r>
      <w:r w:rsidRPr="00DD6EC5">
        <w:tab/>
      </w:r>
    </w:p>
    <w:p w:rsidR="00111DC4" w:rsidRPr="00DD6EC5" w:rsidRDefault="00111DC4" w:rsidP="00111DC4">
      <w:pPr>
        <w:jc w:val="both"/>
      </w:pPr>
      <w:r w:rsidRPr="00DD6EC5">
        <w:t>Where:</w:t>
      </w:r>
    </w:p>
    <w:p w:rsidR="00111DC4" w:rsidRPr="00DD6EC5" w:rsidRDefault="00111DC4" w:rsidP="00111DC4">
      <w:pPr>
        <w:pStyle w:val="NoSpacing"/>
        <w:spacing w:line="276" w:lineRule="auto"/>
        <w:ind w:firstLine="284"/>
        <w:jc w:val="both"/>
        <w:rPr>
          <w:rFonts w:ascii="Times New Roman" w:eastAsiaTheme="minorEastAsia" w:hAnsi="Times New Roman" w:cs="Times New Roman"/>
          <w:sz w:val="20"/>
          <w:szCs w:val="20"/>
        </w:rPr>
      </w:pPr>
      <w:r w:rsidRPr="00DD6EC5">
        <w:rPr>
          <w:rFonts w:ascii="Times New Roman" w:eastAsiaTheme="minorEastAsia" w:hAnsi="Times New Roman" w:cs="Times New Roman"/>
          <w:sz w:val="20"/>
          <w:szCs w:val="20"/>
        </w:rPr>
        <w:t>P</w:t>
      </w:r>
      <w:r w:rsidRPr="00DD6EC5">
        <w:rPr>
          <w:rFonts w:ascii="Times New Roman" w:eastAsiaTheme="minorEastAsia" w:hAnsi="Times New Roman" w:cs="Times New Roman"/>
          <w:sz w:val="20"/>
          <w:szCs w:val="20"/>
          <w:vertAlign w:val="subscript"/>
        </w:rPr>
        <w:t>i</w:t>
      </w:r>
      <w:r w:rsidRPr="00DD6EC5">
        <w:rPr>
          <w:rFonts w:ascii="Times New Roman" w:eastAsiaTheme="minorEastAsia" w:hAnsi="Times New Roman" w:cs="Times New Roman"/>
          <w:sz w:val="20"/>
          <w:szCs w:val="20"/>
        </w:rPr>
        <w:t xml:space="preserve"> = probability that the income of clients increases</w:t>
      </w:r>
    </w:p>
    <w:p w:rsidR="00111DC4" w:rsidRPr="00DD6EC5" w:rsidRDefault="00111DC4" w:rsidP="00111DC4">
      <w:pPr>
        <w:pStyle w:val="NoSpacing"/>
        <w:spacing w:line="276" w:lineRule="auto"/>
        <w:ind w:firstLine="284"/>
        <w:jc w:val="both"/>
        <w:rPr>
          <w:rFonts w:ascii="Times New Roman" w:eastAsiaTheme="minorEastAsia" w:hAnsi="Times New Roman" w:cs="Times New Roman"/>
          <w:sz w:val="20"/>
          <w:szCs w:val="20"/>
        </w:rPr>
      </w:pPr>
      <w:r w:rsidRPr="00DD6EC5">
        <w:rPr>
          <w:rFonts w:ascii="Times New Roman" w:eastAsiaTheme="minorEastAsia" w:hAnsi="Times New Roman" w:cs="Times New Roman"/>
          <w:sz w:val="20"/>
          <w:szCs w:val="20"/>
        </w:rPr>
        <w:t>1– P</w:t>
      </w:r>
      <w:r w:rsidRPr="00DD6EC5">
        <w:rPr>
          <w:rFonts w:ascii="Times New Roman" w:eastAsiaTheme="minorEastAsia" w:hAnsi="Times New Roman" w:cs="Times New Roman"/>
          <w:sz w:val="20"/>
          <w:szCs w:val="20"/>
          <w:vertAlign w:val="subscript"/>
        </w:rPr>
        <w:t>i</w:t>
      </w:r>
      <w:r w:rsidRPr="00DD6EC5">
        <w:rPr>
          <w:rFonts w:ascii="Times New Roman" w:eastAsiaTheme="minorEastAsia" w:hAnsi="Times New Roman" w:cs="Times New Roman"/>
          <w:sz w:val="20"/>
          <w:szCs w:val="20"/>
        </w:rPr>
        <w:t xml:space="preserve"> = probability of otherwise</w:t>
      </w:r>
    </w:p>
    <w:tbl>
      <w:tblPr>
        <w:tblStyle w:val="TableGrid"/>
        <w:tblW w:w="0" w:type="auto"/>
        <w:tblBorders>
          <w:bottom w:val="none" w:sz="0" w:space="0" w:color="auto"/>
        </w:tblBorders>
        <w:tblLook w:val="04A0" w:firstRow="1" w:lastRow="0" w:firstColumn="1" w:lastColumn="0" w:noHBand="0" w:noVBand="1"/>
      </w:tblPr>
      <w:tblGrid>
        <w:gridCol w:w="1387"/>
        <w:gridCol w:w="846"/>
        <w:gridCol w:w="7325"/>
      </w:tblGrid>
      <w:tr w:rsidR="00111DC4" w:rsidRPr="00DD6EC5" w:rsidTr="009214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111DC4" w:rsidRPr="00DD6EC5" w:rsidRDefault="00111DC4" w:rsidP="00921457">
            <w:pPr>
              <w:autoSpaceDE w:val="0"/>
              <w:autoSpaceDN w:val="0"/>
              <w:adjustRightInd w:val="0"/>
              <w:spacing w:line="276" w:lineRule="auto"/>
              <w:jc w:val="both"/>
              <w:rPr>
                <w:b w:val="0"/>
                <w:sz w:val="20"/>
                <w:szCs w:val="20"/>
              </w:rPr>
            </w:pPr>
            <w:proofErr w:type="spellStart"/>
            <w:r w:rsidRPr="00DD6EC5">
              <w:rPr>
                <w:b w:val="0"/>
                <w:sz w:val="20"/>
                <w:szCs w:val="20"/>
              </w:rPr>
              <w:t>AGE</w:t>
            </w:r>
            <w:r w:rsidRPr="00DD6EC5">
              <w:rPr>
                <w:b w:val="0"/>
                <w:sz w:val="20"/>
                <w:szCs w:val="20"/>
                <w:vertAlign w:val="subscript"/>
              </w:rPr>
              <w:t>i</w:t>
            </w:r>
            <w:proofErr w:type="spellEnd"/>
          </w:p>
        </w:tc>
        <w:tc>
          <w:tcPr>
            <w:tcW w:w="84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111DC4" w:rsidRPr="00DD6EC5" w:rsidRDefault="00111DC4" w:rsidP="00921457">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b w:val="0"/>
                <w:sz w:val="20"/>
                <w:szCs w:val="20"/>
              </w:rPr>
            </w:pPr>
            <w:r w:rsidRPr="00DD6EC5">
              <w:rPr>
                <w:b w:val="0"/>
                <w:sz w:val="20"/>
                <w:szCs w:val="20"/>
              </w:rPr>
              <w:t>=</w:t>
            </w:r>
          </w:p>
        </w:tc>
        <w:tc>
          <w:tcPr>
            <w:tcW w:w="732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111DC4" w:rsidRPr="00DD6EC5" w:rsidRDefault="00111DC4" w:rsidP="00921457">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b w:val="0"/>
                <w:sz w:val="20"/>
                <w:szCs w:val="20"/>
              </w:rPr>
            </w:pPr>
            <w:r w:rsidRPr="00DD6EC5">
              <w:rPr>
                <w:b w:val="0"/>
                <w:sz w:val="20"/>
                <w:szCs w:val="20"/>
              </w:rPr>
              <w:t xml:space="preserve">Age of the head of the borrower </w:t>
            </w:r>
          </w:p>
        </w:tc>
      </w:tr>
      <w:tr w:rsidR="00111DC4" w:rsidRPr="00DD6EC5" w:rsidTr="00921457">
        <w:tc>
          <w:tcPr>
            <w:cnfStyle w:val="001000000000" w:firstRow="0" w:lastRow="0" w:firstColumn="1" w:lastColumn="0" w:oddVBand="0" w:evenVBand="0" w:oddHBand="0" w:evenHBand="0" w:firstRowFirstColumn="0" w:firstRowLastColumn="0" w:lastRowFirstColumn="0" w:lastRowLastColumn="0"/>
            <w:tcW w:w="1387" w:type="dxa"/>
          </w:tcPr>
          <w:p w:rsidR="00111DC4" w:rsidRPr="00DD6EC5" w:rsidRDefault="00111DC4" w:rsidP="00921457">
            <w:pPr>
              <w:autoSpaceDE w:val="0"/>
              <w:autoSpaceDN w:val="0"/>
              <w:adjustRightInd w:val="0"/>
              <w:spacing w:line="276" w:lineRule="auto"/>
              <w:jc w:val="both"/>
              <w:rPr>
                <w:rFonts w:cs="Times New Roman"/>
                <w:sz w:val="20"/>
                <w:szCs w:val="20"/>
              </w:rPr>
            </w:pPr>
            <w:proofErr w:type="spellStart"/>
            <w:r w:rsidRPr="00DD6EC5">
              <w:rPr>
                <w:rFonts w:cs="Times New Roman"/>
                <w:sz w:val="20"/>
                <w:szCs w:val="20"/>
              </w:rPr>
              <w:t>HHS</w:t>
            </w:r>
            <w:r w:rsidRPr="00DD6EC5">
              <w:rPr>
                <w:rFonts w:cs="Times New Roman"/>
                <w:sz w:val="20"/>
                <w:szCs w:val="20"/>
                <w:vertAlign w:val="subscript"/>
              </w:rPr>
              <w:t>i</w:t>
            </w:r>
            <w:proofErr w:type="spellEnd"/>
          </w:p>
        </w:tc>
        <w:tc>
          <w:tcPr>
            <w:tcW w:w="846" w:type="dxa"/>
          </w:tcPr>
          <w:p w:rsidR="00111DC4" w:rsidRPr="00DD6EC5" w:rsidRDefault="00111DC4" w:rsidP="00921457">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D6EC5">
              <w:rPr>
                <w:rFonts w:cs="Times New Roman"/>
                <w:sz w:val="20"/>
                <w:szCs w:val="20"/>
              </w:rPr>
              <w:t>=</w:t>
            </w:r>
          </w:p>
        </w:tc>
        <w:tc>
          <w:tcPr>
            <w:tcW w:w="7325" w:type="dxa"/>
          </w:tcPr>
          <w:p w:rsidR="00111DC4" w:rsidRPr="00DD6EC5" w:rsidRDefault="00111DC4" w:rsidP="00921457">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D6EC5">
              <w:rPr>
                <w:rFonts w:cs="Times New Roman"/>
                <w:sz w:val="20"/>
                <w:szCs w:val="20"/>
              </w:rPr>
              <w:t xml:space="preserve">Size of the household </w:t>
            </w:r>
          </w:p>
        </w:tc>
      </w:tr>
      <w:tr w:rsidR="00111DC4" w:rsidRPr="00DD6EC5" w:rsidTr="00921457">
        <w:tc>
          <w:tcPr>
            <w:cnfStyle w:val="001000000000" w:firstRow="0" w:lastRow="0" w:firstColumn="1" w:lastColumn="0" w:oddVBand="0" w:evenVBand="0" w:oddHBand="0" w:evenHBand="0" w:firstRowFirstColumn="0" w:firstRowLastColumn="0" w:lastRowFirstColumn="0" w:lastRowLastColumn="0"/>
            <w:tcW w:w="1387" w:type="dxa"/>
          </w:tcPr>
          <w:p w:rsidR="00111DC4" w:rsidRPr="00DD6EC5" w:rsidRDefault="00111DC4" w:rsidP="00921457">
            <w:pPr>
              <w:autoSpaceDE w:val="0"/>
              <w:autoSpaceDN w:val="0"/>
              <w:adjustRightInd w:val="0"/>
              <w:jc w:val="both"/>
              <w:rPr>
                <w:rFonts w:cs="Times New Roman"/>
                <w:sz w:val="20"/>
                <w:szCs w:val="20"/>
              </w:rPr>
            </w:pPr>
            <w:proofErr w:type="spellStart"/>
            <w:r w:rsidRPr="00DD6EC5">
              <w:rPr>
                <w:rFonts w:cs="Times New Roman"/>
                <w:sz w:val="20"/>
                <w:szCs w:val="20"/>
              </w:rPr>
              <w:t>MSTATUSi</w:t>
            </w:r>
            <w:proofErr w:type="spellEnd"/>
          </w:p>
        </w:tc>
        <w:tc>
          <w:tcPr>
            <w:tcW w:w="846" w:type="dxa"/>
          </w:tcPr>
          <w:p w:rsidR="00111DC4" w:rsidRPr="00DD6EC5" w:rsidRDefault="00111DC4" w:rsidP="009214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D6EC5">
              <w:rPr>
                <w:rFonts w:cs="Times New Roman"/>
                <w:sz w:val="20"/>
                <w:szCs w:val="20"/>
              </w:rPr>
              <w:t>=</w:t>
            </w:r>
          </w:p>
        </w:tc>
        <w:tc>
          <w:tcPr>
            <w:tcW w:w="7325" w:type="dxa"/>
          </w:tcPr>
          <w:p w:rsidR="00111DC4" w:rsidRPr="00DD6EC5" w:rsidRDefault="00111DC4" w:rsidP="009214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D6EC5">
              <w:rPr>
                <w:rFonts w:cs="Times New Roman"/>
                <w:sz w:val="20"/>
                <w:szCs w:val="20"/>
              </w:rPr>
              <w:t>Marital status of the household head</w:t>
            </w:r>
          </w:p>
        </w:tc>
      </w:tr>
      <w:tr w:rsidR="00111DC4" w:rsidRPr="00DD6EC5" w:rsidTr="00921457">
        <w:tc>
          <w:tcPr>
            <w:cnfStyle w:val="001000000000" w:firstRow="0" w:lastRow="0" w:firstColumn="1" w:lastColumn="0" w:oddVBand="0" w:evenVBand="0" w:oddHBand="0" w:evenHBand="0" w:firstRowFirstColumn="0" w:firstRowLastColumn="0" w:lastRowFirstColumn="0" w:lastRowLastColumn="0"/>
            <w:tcW w:w="1387" w:type="dxa"/>
          </w:tcPr>
          <w:p w:rsidR="00111DC4" w:rsidRPr="00DD6EC5" w:rsidRDefault="00111DC4" w:rsidP="00921457">
            <w:pPr>
              <w:autoSpaceDE w:val="0"/>
              <w:autoSpaceDN w:val="0"/>
              <w:adjustRightInd w:val="0"/>
              <w:spacing w:line="276" w:lineRule="auto"/>
              <w:jc w:val="both"/>
              <w:rPr>
                <w:rFonts w:cs="Times New Roman"/>
                <w:sz w:val="20"/>
                <w:szCs w:val="20"/>
              </w:rPr>
            </w:pPr>
            <w:proofErr w:type="spellStart"/>
            <w:r w:rsidRPr="00DD6EC5">
              <w:rPr>
                <w:rFonts w:cs="Times New Roman"/>
                <w:sz w:val="20"/>
                <w:szCs w:val="20"/>
              </w:rPr>
              <w:t>GND</w:t>
            </w:r>
            <w:r w:rsidRPr="00DD6EC5">
              <w:rPr>
                <w:rFonts w:cs="Times New Roman"/>
                <w:sz w:val="20"/>
                <w:szCs w:val="20"/>
                <w:vertAlign w:val="subscript"/>
              </w:rPr>
              <w:t>i</w:t>
            </w:r>
            <w:proofErr w:type="spellEnd"/>
          </w:p>
        </w:tc>
        <w:tc>
          <w:tcPr>
            <w:tcW w:w="846" w:type="dxa"/>
          </w:tcPr>
          <w:p w:rsidR="00111DC4" w:rsidRPr="00DD6EC5" w:rsidRDefault="00111DC4" w:rsidP="00921457">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D6EC5">
              <w:rPr>
                <w:rFonts w:cs="Times New Roman"/>
                <w:sz w:val="20"/>
                <w:szCs w:val="20"/>
              </w:rPr>
              <w:t>=</w:t>
            </w:r>
          </w:p>
        </w:tc>
        <w:tc>
          <w:tcPr>
            <w:tcW w:w="7325" w:type="dxa"/>
          </w:tcPr>
          <w:p w:rsidR="00111DC4" w:rsidRPr="00DD6EC5" w:rsidRDefault="00111DC4" w:rsidP="00921457">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D6EC5">
              <w:rPr>
                <w:rFonts w:cs="Times New Roman"/>
                <w:sz w:val="20"/>
                <w:szCs w:val="20"/>
              </w:rPr>
              <w:t>Gender of the head of the borrower</w:t>
            </w:r>
          </w:p>
        </w:tc>
      </w:tr>
      <w:tr w:rsidR="00111DC4" w:rsidRPr="00DD6EC5" w:rsidTr="00921457">
        <w:tc>
          <w:tcPr>
            <w:cnfStyle w:val="001000000000" w:firstRow="0" w:lastRow="0" w:firstColumn="1" w:lastColumn="0" w:oddVBand="0" w:evenVBand="0" w:oddHBand="0" w:evenHBand="0" w:firstRowFirstColumn="0" w:firstRowLastColumn="0" w:lastRowFirstColumn="0" w:lastRowLastColumn="0"/>
            <w:tcW w:w="1387" w:type="dxa"/>
          </w:tcPr>
          <w:p w:rsidR="00111DC4" w:rsidRPr="00DD6EC5" w:rsidRDefault="00111DC4" w:rsidP="00921457">
            <w:pPr>
              <w:autoSpaceDE w:val="0"/>
              <w:autoSpaceDN w:val="0"/>
              <w:adjustRightInd w:val="0"/>
              <w:spacing w:line="276" w:lineRule="auto"/>
              <w:jc w:val="both"/>
              <w:rPr>
                <w:rFonts w:cs="Times New Roman"/>
                <w:sz w:val="20"/>
                <w:szCs w:val="20"/>
              </w:rPr>
            </w:pPr>
            <w:proofErr w:type="spellStart"/>
            <w:r w:rsidRPr="00DD6EC5">
              <w:rPr>
                <w:rFonts w:cs="Times New Roman"/>
                <w:sz w:val="20"/>
                <w:szCs w:val="20"/>
              </w:rPr>
              <w:t>CFA</w:t>
            </w:r>
            <w:r w:rsidRPr="00DD6EC5">
              <w:rPr>
                <w:rFonts w:cs="Times New Roman"/>
                <w:sz w:val="20"/>
                <w:szCs w:val="20"/>
                <w:vertAlign w:val="subscript"/>
              </w:rPr>
              <w:t>i</w:t>
            </w:r>
            <w:proofErr w:type="spellEnd"/>
          </w:p>
        </w:tc>
        <w:tc>
          <w:tcPr>
            <w:tcW w:w="846" w:type="dxa"/>
          </w:tcPr>
          <w:p w:rsidR="00111DC4" w:rsidRPr="00DD6EC5" w:rsidRDefault="00111DC4" w:rsidP="00921457">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D6EC5">
              <w:rPr>
                <w:rFonts w:cs="Times New Roman"/>
                <w:sz w:val="20"/>
                <w:szCs w:val="20"/>
              </w:rPr>
              <w:t>=</w:t>
            </w:r>
          </w:p>
        </w:tc>
        <w:tc>
          <w:tcPr>
            <w:tcW w:w="7325" w:type="dxa"/>
          </w:tcPr>
          <w:p w:rsidR="00111DC4" w:rsidRPr="00DD6EC5" w:rsidRDefault="00111DC4" w:rsidP="00921457">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6EC5">
              <w:rPr>
                <w:rFonts w:ascii="Times New Roman" w:eastAsiaTheme="minorEastAsia" w:hAnsi="Times New Roman" w:cs="Times New Roman"/>
                <w:sz w:val="20"/>
                <w:szCs w:val="20"/>
              </w:rPr>
              <w:t>Current facility amount</w:t>
            </w:r>
          </w:p>
        </w:tc>
      </w:tr>
      <w:tr w:rsidR="00111DC4" w:rsidRPr="00DD6EC5" w:rsidTr="00921457">
        <w:tc>
          <w:tcPr>
            <w:cnfStyle w:val="001000000000" w:firstRow="0" w:lastRow="0" w:firstColumn="1" w:lastColumn="0" w:oddVBand="0" w:evenVBand="0" w:oddHBand="0" w:evenHBand="0" w:firstRowFirstColumn="0" w:firstRowLastColumn="0" w:lastRowFirstColumn="0" w:lastRowLastColumn="0"/>
            <w:tcW w:w="1387" w:type="dxa"/>
          </w:tcPr>
          <w:p w:rsidR="00111DC4" w:rsidRPr="00DD6EC5" w:rsidRDefault="00111DC4" w:rsidP="00921457">
            <w:pPr>
              <w:autoSpaceDE w:val="0"/>
              <w:autoSpaceDN w:val="0"/>
              <w:adjustRightInd w:val="0"/>
              <w:jc w:val="both"/>
              <w:rPr>
                <w:rFonts w:cs="Times New Roman"/>
                <w:sz w:val="20"/>
                <w:szCs w:val="20"/>
              </w:rPr>
            </w:pPr>
            <w:proofErr w:type="spellStart"/>
            <w:r w:rsidRPr="00DD6EC5">
              <w:rPr>
                <w:rFonts w:cs="Times New Roman"/>
                <w:sz w:val="20"/>
                <w:szCs w:val="20"/>
              </w:rPr>
              <w:t>NRPIi</w:t>
            </w:r>
            <w:proofErr w:type="spellEnd"/>
          </w:p>
        </w:tc>
        <w:tc>
          <w:tcPr>
            <w:tcW w:w="846" w:type="dxa"/>
          </w:tcPr>
          <w:p w:rsidR="00111DC4" w:rsidRPr="00DD6EC5" w:rsidRDefault="00111DC4" w:rsidP="009214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D6EC5">
              <w:rPr>
                <w:rFonts w:cs="Times New Roman"/>
                <w:sz w:val="20"/>
                <w:szCs w:val="20"/>
              </w:rPr>
              <w:t>=</w:t>
            </w:r>
          </w:p>
        </w:tc>
        <w:tc>
          <w:tcPr>
            <w:tcW w:w="7325" w:type="dxa"/>
          </w:tcPr>
          <w:p w:rsidR="00111DC4" w:rsidRPr="00DD6EC5" w:rsidRDefault="00111DC4" w:rsidP="00921457">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0"/>
                <w:szCs w:val="20"/>
              </w:rPr>
            </w:pPr>
            <w:r w:rsidRPr="00DD6EC5">
              <w:rPr>
                <w:rFonts w:ascii="Times New Roman" w:eastAsiaTheme="minorEastAsia" w:hAnsi="Times New Roman" w:cs="Times New Roman"/>
                <w:sz w:val="20"/>
                <w:szCs w:val="20"/>
              </w:rPr>
              <w:t>Number of repayment instalments</w:t>
            </w:r>
          </w:p>
        </w:tc>
      </w:tr>
      <w:tr w:rsidR="00111DC4" w:rsidRPr="00DD6EC5" w:rsidTr="00921457">
        <w:tc>
          <w:tcPr>
            <w:cnfStyle w:val="001000000000" w:firstRow="0" w:lastRow="0" w:firstColumn="1" w:lastColumn="0" w:oddVBand="0" w:evenVBand="0" w:oddHBand="0" w:evenHBand="0" w:firstRowFirstColumn="0" w:firstRowLastColumn="0" w:lastRowFirstColumn="0" w:lastRowLastColumn="0"/>
            <w:tcW w:w="1387" w:type="dxa"/>
          </w:tcPr>
          <w:p w:rsidR="00111DC4" w:rsidRPr="00DD6EC5" w:rsidRDefault="00111DC4" w:rsidP="00921457">
            <w:pPr>
              <w:autoSpaceDE w:val="0"/>
              <w:autoSpaceDN w:val="0"/>
              <w:adjustRightInd w:val="0"/>
              <w:jc w:val="both"/>
              <w:rPr>
                <w:rFonts w:cs="Times New Roman"/>
                <w:sz w:val="20"/>
                <w:szCs w:val="20"/>
              </w:rPr>
            </w:pPr>
            <w:proofErr w:type="spellStart"/>
            <w:r w:rsidRPr="00DD6EC5">
              <w:rPr>
                <w:rFonts w:cs="Times New Roman"/>
                <w:sz w:val="20"/>
                <w:szCs w:val="20"/>
              </w:rPr>
              <w:t>LOCi</w:t>
            </w:r>
            <w:proofErr w:type="spellEnd"/>
          </w:p>
        </w:tc>
        <w:tc>
          <w:tcPr>
            <w:tcW w:w="846" w:type="dxa"/>
          </w:tcPr>
          <w:p w:rsidR="00111DC4" w:rsidRPr="00DD6EC5" w:rsidRDefault="00111DC4" w:rsidP="009214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D6EC5">
              <w:rPr>
                <w:rFonts w:cs="Times New Roman"/>
                <w:sz w:val="20"/>
                <w:szCs w:val="20"/>
              </w:rPr>
              <w:t>=</w:t>
            </w:r>
          </w:p>
        </w:tc>
        <w:tc>
          <w:tcPr>
            <w:tcW w:w="7325" w:type="dxa"/>
          </w:tcPr>
          <w:p w:rsidR="00111DC4" w:rsidRPr="00DD6EC5" w:rsidRDefault="00111DC4" w:rsidP="00921457">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0"/>
                <w:szCs w:val="20"/>
              </w:rPr>
            </w:pPr>
            <w:r w:rsidRPr="00DD6EC5">
              <w:rPr>
                <w:rFonts w:ascii="Times New Roman" w:eastAsiaTheme="minorEastAsia" w:hAnsi="Times New Roman" w:cs="Times New Roman"/>
                <w:sz w:val="20"/>
                <w:szCs w:val="20"/>
              </w:rPr>
              <w:t>Location</w:t>
            </w:r>
          </w:p>
        </w:tc>
      </w:tr>
      <w:tr w:rsidR="00111DC4" w:rsidRPr="00DD6EC5" w:rsidTr="00921457">
        <w:tc>
          <w:tcPr>
            <w:cnfStyle w:val="001000000000" w:firstRow="0" w:lastRow="0" w:firstColumn="1" w:lastColumn="0" w:oddVBand="0" w:evenVBand="0" w:oddHBand="0" w:evenHBand="0" w:firstRowFirstColumn="0" w:firstRowLastColumn="0" w:lastRowFirstColumn="0" w:lastRowLastColumn="0"/>
            <w:tcW w:w="1387" w:type="dxa"/>
          </w:tcPr>
          <w:p w:rsidR="00111DC4" w:rsidRPr="00DD6EC5" w:rsidRDefault="00111DC4" w:rsidP="00921457">
            <w:pPr>
              <w:autoSpaceDE w:val="0"/>
              <w:autoSpaceDN w:val="0"/>
              <w:adjustRightInd w:val="0"/>
              <w:spacing w:line="276" w:lineRule="auto"/>
              <w:jc w:val="both"/>
              <w:rPr>
                <w:rFonts w:cs="Times New Roman"/>
                <w:sz w:val="20"/>
                <w:szCs w:val="20"/>
              </w:rPr>
            </w:pPr>
            <w:proofErr w:type="spellStart"/>
            <w:r w:rsidRPr="00DD6EC5">
              <w:rPr>
                <w:rFonts w:cs="Times New Roman"/>
                <w:sz w:val="20"/>
                <w:szCs w:val="20"/>
              </w:rPr>
              <w:t>BEX</w:t>
            </w:r>
            <w:r w:rsidRPr="00DD6EC5">
              <w:rPr>
                <w:rFonts w:cs="Times New Roman"/>
                <w:sz w:val="20"/>
                <w:szCs w:val="20"/>
                <w:vertAlign w:val="subscript"/>
              </w:rPr>
              <w:t>i</w:t>
            </w:r>
            <w:proofErr w:type="spellEnd"/>
          </w:p>
        </w:tc>
        <w:tc>
          <w:tcPr>
            <w:tcW w:w="846" w:type="dxa"/>
          </w:tcPr>
          <w:p w:rsidR="00111DC4" w:rsidRPr="00DD6EC5" w:rsidRDefault="00111DC4" w:rsidP="00921457">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D6EC5">
              <w:rPr>
                <w:rFonts w:cs="Times New Roman"/>
                <w:sz w:val="20"/>
                <w:szCs w:val="20"/>
              </w:rPr>
              <w:t>=</w:t>
            </w:r>
          </w:p>
        </w:tc>
        <w:tc>
          <w:tcPr>
            <w:tcW w:w="7325" w:type="dxa"/>
          </w:tcPr>
          <w:p w:rsidR="00111DC4" w:rsidRPr="00DD6EC5" w:rsidRDefault="00111DC4" w:rsidP="00921457">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D6EC5">
              <w:rPr>
                <w:rFonts w:cs="Times New Roman"/>
                <w:sz w:val="20"/>
                <w:szCs w:val="20"/>
              </w:rPr>
              <w:t xml:space="preserve">Years of business experience </w:t>
            </w:r>
          </w:p>
        </w:tc>
      </w:tr>
      <w:tr w:rsidR="00111DC4" w:rsidRPr="00DD6EC5" w:rsidTr="00921457">
        <w:tc>
          <w:tcPr>
            <w:cnfStyle w:val="001000000000" w:firstRow="0" w:lastRow="0" w:firstColumn="1" w:lastColumn="0" w:oddVBand="0" w:evenVBand="0" w:oddHBand="0" w:evenHBand="0" w:firstRowFirstColumn="0" w:firstRowLastColumn="0" w:lastRowFirstColumn="0" w:lastRowLastColumn="0"/>
            <w:tcW w:w="1387" w:type="dxa"/>
          </w:tcPr>
          <w:p w:rsidR="00111DC4" w:rsidRPr="00DD6EC5" w:rsidRDefault="00111DC4" w:rsidP="00921457">
            <w:pPr>
              <w:autoSpaceDE w:val="0"/>
              <w:autoSpaceDN w:val="0"/>
              <w:adjustRightInd w:val="0"/>
              <w:spacing w:line="276" w:lineRule="auto"/>
              <w:jc w:val="both"/>
              <w:rPr>
                <w:rFonts w:cs="Times New Roman"/>
                <w:sz w:val="20"/>
                <w:szCs w:val="20"/>
              </w:rPr>
            </w:pPr>
            <w:proofErr w:type="spellStart"/>
            <w:r w:rsidRPr="00DD6EC5">
              <w:rPr>
                <w:rFonts w:cs="Times New Roman"/>
                <w:sz w:val="20"/>
                <w:szCs w:val="20"/>
              </w:rPr>
              <w:t>TINCB</w:t>
            </w:r>
            <w:r w:rsidRPr="00DD6EC5">
              <w:rPr>
                <w:rFonts w:cs="Times New Roman"/>
                <w:sz w:val="20"/>
                <w:szCs w:val="20"/>
                <w:vertAlign w:val="subscript"/>
              </w:rPr>
              <w:t>i</w:t>
            </w:r>
            <w:proofErr w:type="spellEnd"/>
          </w:p>
        </w:tc>
        <w:tc>
          <w:tcPr>
            <w:tcW w:w="846" w:type="dxa"/>
          </w:tcPr>
          <w:p w:rsidR="00111DC4" w:rsidRPr="00DD6EC5" w:rsidRDefault="00111DC4" w:rsidP="00921457">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D6EC5">
              <w:rPr>
                <w:rFonts w:cs="Times New Roman"/>
                <w:sz w:val="20"/>
                <w:szCs w:val="20"/>
              </w:rPr>
              <w:t>=</w:t>
            </w:r>
          </w:p>
        </w:tc>
        <w:tc>
          <w:tcPr>
            <w:tcW w:w="7325" w:type="dxa"/>
          </w:tcPr>
          <w:p w:rsidR="00111DC4" w:rsidRPr="00DD6EC5" w:rsidRDefault="00111DC4" w:rsidP="00921457">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D6EC5">
              <w:rPr>
                <w:rFonts w:cs="Times New Roman"/>
                <w:sz w:val="20"/>
                <w:szCs w:val="20"/>
              </w:rPr>
              <w:t xml:space="preserve">Total income before </w:t>
            </w:r>
            <w:proofErr w:type="spellStart"/>
            <w:r w:rsidRPr="00DD6EC5">
              <w:rPr>
                <w:rFonts w:cs="Times New Roman"/>
                <w:sz w:val="20"/>
                <w:szCs w:val="20"/>
              </w:rPr>
              <w:t>non interest</w:t>
            </w:r>
            <w:proofErr w:type="spellEnd"/>
            <w:r w:rsidRPr="00DD6EC5">
              <w:rPr>
                <w:rFonts w:cs="Times New Roman"/>
                <w:sz w:val="20"/>
                <w:szCs w:val="20"/>
              </w:rPr>
              <w:t xml:space="preserve"> facility</w:t>
            </w:r>
          </w:p>
        </w:tc>
      </w:tr>
      <w:tr w:rsidR="00111DC4" w:rsidRPr="00DD6EC5" w:rsidTr="00921457">
        <w:tc>
          <w:tcPr>
            <w:cnfStyle w:val="001000000000" w:firstRow="0" w:lastRow="0" w:firstColumn="1" w:lastColumn="0" w:oddVBand="0" w:evenVBand="0" w:oddHBand="0" w:evenHBand="0" w:firstRowFirstColumn="0" w:firstRowLastColumn="0" w:lastRowFirstColumn="0" w:lastRowLastColumn="0"/>
            <w:tcW w:w="1387" w:type="dxa"/>
          </w:tcPr>
          <w:p w:rsidR="00111DC4" w:rsidRPr="00DD6EC5" w:rsidRDefault="00111DC4" w:rsidP="00921457">
            <w:pPr>
              <w:autoSpaceDE w:val="0"/>
              <w:autoSpaceDN w:val="0"/>
              <w:adjustRightInd w:val="0"/>
              <w:spacing w:line="276" w:lineRule="auto"/>
              <w:jc w:val="both"/>
              <w:rPr>
                <w:rFonts w:cs="Times New Roman"/>
                <w:sz w:val="20"/>
                <w:szCs w:val="20"/>
              </w:rPr>
            </w:pPr>
            <w:proofErr w:type="spellStart"/>
            <w:r w:rsidRPr="00DD6EC5">
              <w:rPr>
                <w:rFonts w:cs="Times New Roman"/>
                <w:sz w:val="20"/>
                <w:szCs w:val="20"/>
              </w:rPr>
              <w:t>TINCAi</w:t>
            </w:r>
            <w:proofErr w:type="spellEnd"/>
          </w:p>
        </w:tc>
        <w:tc>
          <w:tcPr>
            <w:tcW w:w="846" w:type="dxa"/>
          </w:tcPr>
          <w:p w:rsidR="00111DC4" w:rsidRPr="00DD6EC5" w:rsidRDefault="00111DC4" w:rsidP="00921457">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D6EC5">
              <w:rPr>
                <w:rFonts w:cs="Times New Roman"/>
                <w:sz w:val="20"/>
                <w:szCs w:val="20"/>
              </w:rPr>
              <w:t>=</w:t>
            </w:r>
          </w:p>
        </w:tc>
        <w:tc>
          <w:tcPr>
            <w:tcW w:w="7325" w:type="dxa"/>
          </w:tcPr>
          <w:p w:rsidR="00111DC4" w:rsidRPr="00DD6EC5" w:rsidRDefault="00111DC4" w:rsidP="00921457">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D6EC5">
              <w:rPr>
                <w:rFonts w:cs="Times New Roman"/>
                <w:sz w:val="20"/>
                <w:szCs w:val="20"/>
              </w:rPr>
              <w:t>Total income after receiving a non interest facility</w:t>
            </w:r>
          </w:p>
        </w:tc>
      </w:tr>
      <w:tr w:rsidR="00111DC4" w:rsidRPr="00DD6EC5" w:rsidTr="00921457">
        <w:tc>
          <w:tcPr>
            <w:cnfStyle w:val="001000000000" w:firstRow="0" w:lastRow="0" w:firstColumn="1" w:lastColumn="0" w:oddVBand="0" w:evenVBand="0" w:oddHBand="0" w:evenHBand="0" w:firstRowFirstColumn="0" w:firstRowLastColumn="0" w:lastRowFirstColumn="0" w:lastRowLastColumn="0"/>
            <w:tcW w:w="1387" w:type="dxa"/>
          </w:tcPr>
          <w:p w:rsidR="00111DC4" w:rsidRPr="00DD6EC5" w:rsidRDefault="00111DC4" w:rsidP="00921457">
            <w:pPr>
              <w:autoSpaceDE w:val="0"/>
              <w:autoSpaceDN w:val="0"/>
              <w:adjustRightInd w:val="0"/>
              <w:spacing w:line="276" w:lineRule="auto"/>
              <w:jc w:val="both"/>
              <w:rPr>
                <w:rFonts w:cs="Times New Roman"/>
                <w:sz w:val="20"/>
                <w:szCs w:val="20"/>
              </w:rPr>
            </w:pPr>
            <w:r w:rsidRPr="00DD6EC5">
              <w:rPr>
                <w:rFonts w:cs="Times New Roman"/>
                <w:sz w:val="20"/>
                <w:szCs w:val="20"/>
                <w:lang w:val="en-US"/>
              </w:rPr>
              <w:t>INVNIF</w:t>
            </w:r>
            <w:proofErr w:type="spellStart"/>
            <w:r w:rsidRPr="00DD6EC5">
              <w:rPr>
                <w:rFonts w:cs="Times New Roman"/>
                <w:sz w:val="20"/>
                <w:szCs w:val="20"/>
                <w:vertAlign w:val="subscript"/>
              </w:rPr>
              <w:t>i</w:t>
            </w:r>
            <w:proofErr w:type="spellEnd"/>
          </w:p>
        </w:tc>
        <w:tc>
          <w:tcPr>
            <w:tcW w:w="846" w:type="dxa"/>
          </w:tcPr>
          <w:p w:rsidR="00111DC4" w:rsidRPr="00DD6EC5" w:rsidRDefault="00111DC4" w:rsidP="00921457">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D6EC5">
              <w:rPr>
                <w:rFonts w:cs="Times New Roman"/>
                <w:sz w:val="20"/>
                <w:szCs w:val="20"/>
              </w:rPr>
              <w:t>=</w:t>
            </w:r>
          </w:p>
        </w:tc>
        <w:tc>
          <w:tcPr>
            <w:tcW w:w="7325" w:type="dxa"/>
          </w:tcPr>
          <w:p w:rsidR="00111DC4" w:rsidRPr="00DD6EC5" w:rsidRDefault="00111DC4" w:rsidP="00921457">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0"/>
                <w:szCs w:val="20"/>
              </w:rPr>
            </w:pPr>
            <w:r w:rsidRPr="00DD6EC5">
              <w:rPr>
                <w:rFonts w:ascii="Times New Roman" w:eastAsiaTheme="minorEastAsia" w:hAnsi="Times New Roman" w:cs="Times New Roman"/>
                <w:sz w:val="20"/>
                <w:szCs w:val="20"/>
              </w:rPr>
              <w:t>Investment in non interest facility</w:t>
            </w:r>
          </w:p>
        </w:tc>
      </w:tr>
      <w:tr w:rsidR="00111DC4" w:rsidRPr="00DD6EC5" w:rsidTr="00921457">
        <w:tc>
          <w:tcPr>
            <w:cnfStyle w:val="001000000000" w:firstRow="0" w:lastRow="0" w:firstColumn="1" w:lastColumn="0" w:oddVBand="0" w:evenVBand="0" w:oddHBand="0" w:evenHBand="0" w:firstRowFirstColumn="0" w:firstRowLastColumn="0" w:lastRowFirstColumn="0" w:lastRowLastColumn="0"/>
            <w:tcW w:w="1387" w:type="dxa"/>
          </w:tcPr>
          <w:p w:rsidR="00111DC4" w:rsidRPr="00DD6EC5" w:rsidRDefault="00111DC4" w:rsidP="00921457">
            <w:pPr>
              <w:autoSpaceDE w:val="0"/>
              <w:autoSpaceDN w:val="0"/>
              <w:adjustRightInd w:val="0"/>
              <w:spacing w:line="276" w:lineRule="auto"/>
              <w:jc w:val="both"/>
              <w:rPr>
                <w:rFonts w:cs="Times New Roman"/>
                <w:sz w:val="20"/>
                <w:szCs w:val="20"/>
              </w:rPr>
            </w:pPr>
            <w:proofErr w:type="spellStart"/>
            <w:r w:rsidRPr="00DD6EC5">
              <w:rPr>
                <w:rFonts w:cs="Times New Roman"/>
                <w:sz w:val="20"/>
                <w:szCs w:val="20"/>
              </w:rPr>
              <w:t>NTNIFi</w:t>
            </w:r>
            <w:proofErr w:type="spellEnd"/>
          </w:p>
        </w:tc>
        <w:tc>
          <w:tcPr>
            <w:tcW w:w="846" w:type="dxa"/>
          </w:tcPr>
          <w:p w:rsidR="00111DC4" w:rsidRPr="00DD6EC5" w:rsidRDefault="00111DC4" w:rsidP="00921457">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D6EC5">
              <w:rPr>
                <w:rFonts w:cs="Times New Roman"/>
                <w:sz w:val="20"/>
                <w:szCs w:val="20"/>
              </w:rPr>
              <w:t>=</w:t>
            </w:r>
          </w:p>
        </w:tc>
        <w:tc>
          <w:tcPr>
            <w:tcW w:w="7325" w:type="dxa"/>
          </w:tcPr>
          <w:p w:rsidR="00111DC4" w:rsidRPr="00DD6EC5" w:rsidRDefault="00111DC4" w:rsidP="00921457">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6EC5">
              <w:rPr>
                <w:rFonts w:ascii="Times New Roman" w:hAnsi="Times New Roman" w:cs="Times New Roman"/>
                <w:sz w:val="20"/>
                <w:szCs w:val="20"/>
              </w:rPr>
              <w:t>Number of times non interest facility received</w:t>
            </w:r>
          </w:p>
        </w:tc>
      </w:tr>
      <w:tr w:rsidR="00111DC4" w:rsidRPr="00DD6EC5" w:rsidTr="00921457">
        <w:tc>
          <w:tcPr>
            <w:cnfStyle w:val="001000000000" w:firstRow="0" w:lastRow="0" w:firstColumn="1" w:lastColumn="0" w:oddVBand="0" w:evenVBand="0" w:oddHBand="0" w:evenHBand="0" w:firstRowFirstColumn="0" w:firstRowLastColumn="0" w:lastRowFirstColumn="0" w:lastRowLastColumn="0"/>
            <w:tcW w:w="1387" w:type="dxa"/>
          </w:tcPr>
          <w:p w:rsidR="00111DC4" w:rsidRPr="00DD6EC5" w:rsidRDefault="00111DC4" w:rsidP="00921457">
            <w:pPr>
              <w:autoSpaceDE w:val="0"/>
              <w:autoSpaceDN w:val="0"/>
              <w:adjustRightInd w:val="0"/>
              <w:spacing w:line="276" w:lineRule="auto"/>
              <w:jc w:val="both"/>
              <w:rPr>
                <w:rFonts w:cs="Times New Roman"/>
                <w:sz w:val="20"/>
                <w:szCs w:val="20"/>
              </w:rPr>
            </w:pPr>
            <w:r w:rsidRPr="00DD6EC5">
              <w:rPr>
                <w:rFonts w:cs="Times New Roman"/>
                <w:sz w:val="20"/>
                <w:szCs w:val="20"/>
              </w:rPr>
              <w:t>ACT</w:t>
            </w:r>
            <w:r w:rsidRPr="00DD6EC5">
              <w:rPr>
                <w:rFonts w:cs="Times New Roman"/>
                <w:sz w:val="20"/>
                <w:szCs w:val="20"/>
                <w:vertAlign w:val="subscript"/>
              </w:rPr>
              <w:t>i</w:t>
            </w:r>
          </w:p>
        </w:tc>
        <w:tc>
          <w:tcPr>
            <w:tcW w:w="846" w:type="dxa"/>
          </w:tcPr>
          <w:p w:rsidR="00111DC4" w:rsidRPr="00DD6EC5" w:rsidRDefault="00111DC4" w:rsidP="00921457">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D6EC5">
              <w:rPr>
                <w:rFonts w:cs="Times New Roman"/>
                <w:sz w:val="20"/>
                <w:szCs w:val="20"/>
              </w:rPr>
              <w:t>=</w:t>
            </w:r>
          </w:p>
        </w:tc>
        <w:tc>
          <w:tcPr>
            <w:tcW w:w="7325" w:type="dxa"/>
          </w:tcPr>
          <w:p w:rsidR="00111DC4" w:rsidRPr="00DD6EC5" w:rsidRDefault="00111DC4" w:rsidP="00921457">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D6EC5">
              <w:rPr>
                <w:rFonts w:cs="Times New Roman"/>
                <w:sz w:val="20"/>
                <w:szCs w:val="20"/>
              </w:rPr>
              <w:t>Account type</w:t>
            </w:r>
          </w:p>
        </w:tc>
      </w:tr>
      <w:tr w:rsidR="00111DC4" w:rsidRPr="00DD6EC5" w:rsidTr="00921457">
        <w:tc>
          <w:tcPr>
            <w:cnfStyle w:val="001000000000" w:firstRow="0" w:lastRow="0" w:firstColumn="1" w:lastColumn="0" w:oddVBand="0" w:evenVBand="0" w:oddHBand="0" w:evenHBand="0" w:firstRowFirstColumn="0" w:firstRowLastColumn="0" w:lastRowFirstColumn="0" w:lastRowLastColumn="0"/>
            <w:tcW w:w="1387" w:type="dxa"/>
          </w:tcPr>
          <w:p w:rsidR="00111DC4" w:rsidRPr="00DD6EC5" w:rsidRDefault="00111DC4" w:rsidP="00921457">
            <w:pPr>
              <w:autoSpaceDE w:val="0"/>
              <w:autoSpaceDN w:val="0"/>
              <w:adjustRightInd w:val="0"/>
              <w:spacing w:line="276" w:lineRule="auto"/>
              <w:jc w:val="both"/>
              <w:rPr>
                <w:rFonts w:cs="Times New Roman"/>
                <w:sz w:val="20"/>
                <w:szCs w:val="20"/>
              </w:rPr>
            </w:pPr>
            <w:proofErr w:type="spellStart"/>
            <w:r w:rsidRPr="00DD6EC5">
              <w:rPr>
                <w:rFonts w:cs="Times New Roman"/>
                <w:sz w:val="20"/>
                <w:szCs w:val="20"/>
              </w:rPr>
              <w:t>NIFA</w:t>
            </w:r>
            <w:r w:rsidRPr="00DD6EC5">
              <w:rPr>
                <w:rFonts w:cs="Times New Roman"/>
                <w:sz w:val="20"/>
                <w:szCs w:val="20"/>
                <w:vertAlign w:val="subscript"/>
              </w:rPr>
              <w:t>i</w:t>
            </w:r>
            <w:proofErr w:type="spellEnd"/>
          </w:p>
        </w:tc>
        <w:tc>
          <w:tcPr>
            <w:tcW w:w="846" w:type="dxa"/>
          </w:tcPr>
          <w:p w:rsidR="00111DC4" w:rsidRPr="00DD6EC5" w:rsidRDefault="00111DC4" w:rsidP="00921457">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D6EC5">
              <w:rPr>
                <w:rFonts w:cs="Times New Roman"/>
                <w:sz w:val="20"/>
                <w:szCs w:val="20"/>
              </w:rPr>
              <w:t>=</w:t>
            </w:r>
          </w:p>
        </w:tc>
        <w:tc>
          <w:tcPr>
            <w:tcW w:w="7325" w:type="dxa"/>
          </w:tcPr>
          <w:p w:rsidR="00111DC4" w:rsidRPr="00DD6EC5" w:rsidRDefault="00111DC4" w:rsidP="00921457">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D6EC5">
              <w:rPr>
                <w:rFonts w:cs="Times New Roman"/>
                <w:sz w:val="20"/>
                <w:szCs w:val="20"/>
              </w:rPr>
              <w:t>Non-interest facility access</w:t>
            </w:r>
          </w:p>
        </w:tc>
      </w:tr>
      <w:tr w:rsidR="00111DC4" w:rsidRPr="00DD6EC5" w:rsidTr="00921457">
        <w:tc>
          <w:tcPr>
            <w:cnfStyle w:val="001000000000" w:firstRow="0" w:lastRow="0" w:firstColumn="1" w:lastColumn="0" w:oddVBand="0" w:evenVBand="0" w:oddHBand="0" w:evenHBand="0" w:firstRowFirstColumn="0" w:firstRowLastColumn="0" w:lastRowFirstColumn="0" w:lastRowLastColumn="0"/>
            <w:tcW w:w="1387" w:type="dxa"/>
          </w:tcPr>
          <w:p w:rsidR="00111DC4" w:rsidRPr="00DD6EC5" w:rsidRDefault="00111DC4" w:rsidP="00921457">
            <w:pPr>
              <w:autoSpaceDE w:val="0"/>
              <w:autoSpaceDN w:val="0"/>
              <w:adjustRightInd w:val="0"/>
              <w:spacing w:line="276" w:lineRule="auto"/>
              <w:jc w:val="both"/>
              <w:rPr>
                <w:rFonts w:cs="Times New Roman"/>
                <w:sz w:val="20"/>
                <w:szCs w:val="20"/>
              </w:rPr>
            </w:pPr>
            <w:proofErr w:type="spellStart"/>
            <w:r w:rsidRPr="00DD6EC5">
              <w:rPr>
                <w:rFonts w:cs="Times New Roman"/>
                <w:sz w:val="20"/>
                <w:szCs w:val="20"/>
              </w:rPr>
              <w:t>NABi</w:t>
            </w:r>
            <w:proofErr w:type="spellEnd"/>
          </w:p>
        </w:tc>
        <w:tc>
          <w:tcPr>
            <w:tcW w:w="846" w:type="dxa"/>
          </w:tcPr>
          <w:p w:rsidR="00111DC4" w:rsidRPr="00DD6EC5" w:rsidRDefault="00111DC4" w:rsidP="00921457">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D6EC5">
              <w:rPr>
                <w:rFonts w:cs="Times New Roman"/>
                <w:sz w:val="20"/>
                <w:szCs w:val="20"/>
              </w:rPr>
              <w:t>=</w:t>
            </w:r>
          </w:p>
        </w:tc>
        <w:tc>
          <w:tcPr>
            <w:tcW w:w="7325" w:type="dxa"/>
          </w:tcPr>
          <w:p w:rsidR="00111DC4" w:rsidRPr="00DD6EC5" w:rsidRDefault="00111DC4" w:rsidP="00921457">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D6EC5">
              <w:rPr>
                <w:rFonts w:cs="Times New Roman"/>
                <w:sz w:val="20"/>
                <w:szCs w:val="20"/>
              </w:rPr>
              <w:t>Number of assets owned before patronising non interest financial service</w:t>
            </w:r>
          </w:p>
        </w:tc>
      </w:tr>
      <w:tr w:rsidR="00111DC4" w:rsidRPr="00DD6EC5" w:rsidTr="00921457">
        <w:tc>
          <w:tcPr>
            <w:cnfStyle w:val="001000000000" w:firstRow="0" w:lastRow="0" w:firstColumn="1" w:lastColumn="0" w:oddVBand="0" w:evenVBand="0" w:oddHBand="0" w:evenHBand="0" w:firstRowFirstColumn="0" w:firstRowLastColumn="0" w:lastRowFirstColumn="0" w:lastRowLastColumn="0"/>
            <w:tcW w:w="1387" w:type="dxa"/>
          </w:tcPr>
          <w:p w:rsidR="00111DC4" w:rsidRPr="00DD6EC5" w:rsidRDefault="00111DC4" w:rsidP="00921457">
            <w:pPr>
              <w:autoSpaceDE w:val="0"/>
              <w:autoSpaceDN w:val="0"/>
              <w:adjustRightInd w:val="0"/>
              <w:jc w:val="both"/>
              <w:rPr>
                <w:rFonts w:cs="Times New Roman"/>
                <w:sz w:val="20"/>
                <w:szCs w:val="20"/>
              </w:rPr>
            </w:pPr>
            <w:proofErr w:type="spellStart"/>
            <w:r w:rsidRPr="00DD6EC5">
              <w:rPr>
                <w:rFonts w:cs="Times New Roman"/>
                <w:sz w:val="20"/>
                <w:szCs w:val="20"/>
              </w:rPr>
              <w:t>NAAi</w:t>
            </w:r>
            <w:proofErr w:type="spellEnd"/>
          </w:p>
        </w:tc>
        <w:tc>
          <w:tcPr>
            <w:tcW w:w="846" w:type="dxa"/>
          </w:tcPr>
          <w:p w:rsidR="00111DC4" w:rsidRPr="00DD6EC5" w:rsidRDefault="00111DC4" w:rsidP="009214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D6EC5">
              <w:rPr>
                <w:rFonts w:cs="Times New Roman"/>
                <w:sz w:val="20"/>
                <w:szCs w:val="20"/>
              </w:rPr>
              <w:t>=</w:t>
            </w:r>
          </w:p>
        </w:tc>
        <w:tc>
          <w:tcPr>
            <w:tcW w:w="7325" w:type="dxa"/>
          </w:tcPr>
          <w:p w:rsidR="00111DC4" w:rsidRPr="00DD6EC5" w:rsidRDefault="00111DC4" w:rsidP="00921457">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D6EC5">
              <w:rPr>
                <w:rFonts w:cs="Times New Roman"/>
                <w:sz w:val="20"/>
                <w:szCs w:val="20"/>
              </w:rPr>
              <w:t>Number of assets owned after patronising non interest financial service</w:t>
            </w:r>
          </w:p>
        </w:tc>
      </w:tr>
      <w:tr w:rsidR="00111DC4" w:rsidRPr="00DD6EC5" w:rsidTr="00921457">
        <w:tc>
          <w:tcPr>
            <w:cnfStyle w:val="001000000000" w:firstRow="0" w:lastRow="0" w:firstColumn="1" w:lastColumn="0" w:oddVBand="0" w:evenVBand="0" w:oddHBand="0" w:evenHBand="0" w:firstRowFirstColumn="0" w:firstRowLastColumn="0" w:lastRowFirstColumn="0" w:lastRowLastColumn="0"/>
            <w:tcW w:w="1387" w:type="dxa"/>
          </w:tcPr>
          <w:p w:rsidR="00111DC4" w:rsidRPr="00DD6EC5" w:rsidRDefault="00111DC4" w:rsidP="00921457">
            <w:pPr>
              <w:autoSpaceDE w:val="0"/>
              <w:autoSpaceDN w:val="0"/>
              <w:adjustRightInd w:val="0"/>
              <w:jc w:val="both"/>
              <w:rPr>
                <w:rFonts w:cs="Times New Roman"/>
                <w:sz w:val="20"/>
                <w:szCs w:val="20"/>
              </w:rPr>
            </w:pPr>
            <w:proofErr w:type="spellStart"/>
            <w:r w:rsidRPr="00DD6EC5">
              <w:rPr>
                <w:rFonts w:cs="Times New Roman"/>
                <w:sz w:val="20"/>
                <w:szCs w:val="20"/>
              </w:rPr>
              <w:t>MCSi</w:t>
            </w:r>
            <w:proofErr w:type="spellEnd"/>
          </w:p>
        </w:tc>
        <w:tc>
          <w:tcPr>
            <w:tcW w:w="846" w:type="dxa"/>
          </w:tcPr>
          <w:p w:rsidR="00111DC4" w:rsidRPr="00DD6EC5" w:rsidRDefault="00111DC4" w:rsidP="009214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D6EC5">
              <w:rPr>
                <w:rFonts w:cs="Times New Roman"/>
                <w:sz w:val="20"/>
                <w:szCs w:val="20"/>
              </w:rPr>
              <w:t>=</w:t>
            </w:r>
          </w:p>
        </w:tc>
        <w:tc>
          <w:tcPr>
            <w:tcW w:w="7325" w:type="dxa"/>
          </w:tcPr>
          <w:p w:rsidR="00111DC4" w:rsidRPr="00DD6EC5" w:rsidRDefault="00111DC4" w:rsidP="009214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D6EC5">
              <w:rPr>
                <w:rFonts w:cs="Times New Roman"/>
                <w:sz w:val="20"/>
                <w:szCs w:val="20"/>
              </w:rPr>
              <w:t>Membership of cooperative society</w:t>
            </w:r>
          </w:p>
        </w:tc>
      </w:tr>
    </w:tbl>
    <w:p w:rsidR="00111DC4" w:rsidRPr="00DD6EC5" w:rsidRDefault="00111DC4" w:rsidP="00111DC4">
      <w:pPr>
        <w:jc w:val="both"/>
      </w:pPr>
    </w:p>
    <w:p w:rsidR="00111DC4" w:rsidRPr="00DD6EC5" w:rsidRDefault="00111DC4" w:rsidP="00111DC4">
      <w:pPr>
        <w:jc w:val="both"/>
      </w:pPr>
      <w:r w:rsidRPr="00DD6EC5">
        <w:rPr>
          <w:i/>
        </w:rPr>
        <w:t>β</w:t>
      </w:r>
      <w:r w:rsidRPr="00DD6EC5">
        <w:rPr>
          <w:i/>
          <w:vertAlign w:val="subscript"/>
        </w:rPr>
        <w:t>1</w:t>
      </w:r>
      <w:r w:rsidRPr="00DD6EC5">
        <w:rPr>
          <w:i/>
        </w:rPr>
        <w:t>, β</w:t>
      </w:r>
      <w:r w:rsidRPr="00DD6EC5">
        <w:rPr>
          <w:i/>
          <w:vertAlign w:val="subscript"/>
        </w:rPr>
        <w:t>2</w:t>
      </w:r>
      <w:r w:rsidRPr="00DD6EC5">
        <w:rPr>
          <w:vertAlign w:val="subscript"/>
        </w:rPr>
        <w:t xml:space="preserve"> … </w:t>
      </w:r>
      <w:r w:rsidRPr="00DD6EC5">
        <w:rPr>
          <w:i/>
        </w:rPr>
        <w:t>β</w:t>
      </w:r>
      <w:r w:rsidRPr="00DD6EC5">
        <w:rPr>
          <w:i/>
          <w:vertAlign w:val="subscript"/>
        </w:rPr>
        <w:t xml:space="preserve">16 </w:t>
      </w:r>
      <w:r w:rsidRPr="00DD6EC5">
        <w:t xml:space="preserve">are the coefficients of the regressor variables to be estimated. The constant term or intercept of the regression model is denoted by </w:t>
      </w:r>
      <w:r w:rsidRPr="00DD6EC5">
        <w:rPr>
          <w:i/>
        </w:rPr>
        <w:t>β</w:t>
      </w:r>
      <w:r w:rsidRPr="00DD6EC5">
        <w:rPr>
          <w:vertAlign w:val="subscript"/>
        </w:rPr>
        <w:t xml:space="preserve">o </w:t>
      </w:r>
      <w:r w:rsidRPr="00DD6EC5">
        <w:t>while U</w:t>
      </w:r>
      <w:r w:rsidRPr="00DD6EC5">
        <w:rPr>
          <w:vertAlign w:val="subscript"/>
        </w:rPr>
        <w:t>i</w:t>
      </w:r>
      <w:r w:rsidRPr="00DD6EC5">
        <w:t>symbolizes the error term.</w:t>
      </w:r>
    </w:p>
    <w:p w:rsidR="00111DC4" w:rsidRPr="00DD6EC5" w:rsidRDefault="00111DC4" w:rsidP="00111DC4">
      <w:pPr>
        <w:jc w:val="both"/>
      </w:pPr>
    </w:p>
    <w:p w:rsidR="00111DC4" w:rsidRPr="00FA0E55" w:rsidRDefault="00111DC4" w:rsidP="00111DC4">
      <w:pPr>
        <w:jc w:val="both"/>
        <w:rPr>
          <w:b/>
          <w:sz w:val="24"/>
        </w:rPr>
      </w:pPr>
      <w:r w:rsidRPr="00FA0E55">
        <w:rPr>
          <w:b/>
          <w:sz w:val="24"/>
        </w:rPr>
        <w:t>3.4</w:t>
      </w:r>
      <w:r w:rsidRPr="00FA0E55">
        <w:rPr>
          <w:b/>
          <w:sz w:val="24"/>
        </w:rPr>
        <w:tab/>
        <w:t>Household Saving’s Model</w:t>
      </w:r>
    </w:p>
    <w:p w:rsidR="00111DC4" w:rsidRPr="00DD6EC5" w:rsidRDefault="00111DC4" w:rsidP="00111DC4">
      <w:pPr>
        <w:jc w:val="both"/>
      </w:pPr>
      <w:r w:rsidRPr="00DD6EC5">
        <w:t>The empirical model to be estimated for the change in the household savings as a result of patronizing the non-interest facility is expressed as:</w:t>
      </w:r>
    </w:p>
    <w:p w:rsidR="00DD6EC5" w:rsidRPr="00DD6EC5" w:rsidRDefault="00DD6EC5" w:rsidP="00111DC4">
      <w:pPr>
        <w:jc w:val="both"/>
      </w:pPr>
    </w:p>
    <w:p w:rsidR="00111DC4" w:rsidRPr="00DD6EC5" w:rsidRDefault="00111DC4" w:rsidP="00111DC4">
      <w:pPr>
        <w:jc w:val="both"/>
      </w:pPr>
      <m:oMath>
        <m:r>
          <w:rPr>
            <w:rFonts w:ascii="Cambria Math" w:hAnsi="Cambria Math"/>
          </w:rPr>
          <m:t>Ln</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i</m:t>
                    </m:r>
                    <m:r>
                      <w:rPr>
                        <w:rFonts w:ascii="Cambria Math"/>
                      </w:rPr>
                      <m:t xml:space="preserve"> </m:t>
                    </m:r>
                  </m:sub>
                </m:sSub>
              </m:num>
              <m:den>
                <m:r>
                  <w:rPr>
                    <w:rFonts w:ascii="Cambria Math"/>
                  </w:rPr>
                  <m:t>1</m:t>
                </m:r>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den>
            </m:f>
          </m:e>
        </m:d>
        <m:r>
          <w:rPr>
            <w:rFonts w:ascii="Cambria Math"/>
          </w:rPr>
          <m:t xml:space="preserve">= </m:t>
        </m:r>
        <m:sSub>
          <m:sSubPr>
            <m:ctrlPr>
              <w:rPr>
                <w:rFonts w:ascii="Cambria Math" w:hAnsi="Cambria Math"/>
                <w:i/>
              </w:rPr>
            </m:ctrlPr>
          </m:sSubPr>
          <m:e>
            <m:r>
              <w:rPr>
                <w:rFonts w:ascii="Cambria Math" w:hAnsi="Cambria Math"/>
              </w:rPr>
              <m:t>β</m:t>
            </m:r>
          </m:e>
          <m:sub>
            <m:r>
              <w:rPr>
                <w:rFonts w:ascii="Cambria Math" w:hAnsi="Cambria Math"/>
              </w:rPr>
              <m:t>o</m:t>
            </m:r>
          </m:sub>
        </m:sSub>
        <m:r>
          <w:rPr>
            <w:rFonts w:ascii="Cambria Math"/>
          </w:rPr>
          <m:t>+</m:t>
        </m:r>
        <m:sSub>
          <m:sSubPr>
            <m:ctrlPr>
              <w:rPr>
                <w:rFonts w:ascii="Cambria Math" w:hAnsi="Cambria Math"/>
                <w:i/>
              </w:rPr>
            </m:ctrlPr>
          </m:sSubPr>
          <m:e>
            <m:r>
              <w:rPr>
                <w:rFonts w:ascii="Cambria Math" w:hAnsi="Cambria Math"/>
              </w:rPr>
              <m:t>β</m:t>
            </m:r>
          </m:e>
          <m:sub>
            <m:r>
              <w:rPr>
                <w:rFonts w:ascii="Cambria Math"/>
              </w:rPr>
              <m:t>1</m:t>
            </m:r>
          </m:sub>
        </m:sSub>
        <m:r>
          <w:rPr>
            <w:rFonts w:ascii="Cambria Math"/>
          </w:rPr>
          <m:t>GN</m:t>
        </m:r>
        <m:sSub>
          <m:sSubPr>
            <m:ctrlPr>
              <w:rPr>
                <w:rFonts w:ascii="Cambria Math" w:hAnsi="Cambria Math"/>
                <w:i/>
              </w:rPr>
            </m:ctrlPr>
          </m:sSubPr>
          <m:e>
            <m:r>
              <w:rPr>
                <w:rFonts w:ascii="Cambria Math"/>
              </w:rPr>
              <m:t>D</m:t>
            </m:r>
          </m:e>
          <m:sub>
            <m:r>
              <w:rPr>
                <w:rFonts w:ascii="Cambria Math" w:hAnsi="Cambria Math"/>
              </w:rPr>
              <m:t>i</m:t>
            </m:r>
          </m:sub>
        </m:sSub>
        <m:r>
          <w:rPr>
            <w:rFonts w:ascii="Cambria Math"/>
          </w:rPr>
          <m:t xml:space="preserve"> +</m:t>
        </m:r>
        <m:sSub>
          <m:sSubPr>
            <m:ctrlPr>
              <w:rPr>
                <w:rFonts w:ascii="Cambria Math" w:hAnsi="Cambria Math"/>
                <w:i/>
              </w:rPr>
            </m:ctrlPr>
          </m:sSubPr>
          <m:e>
            <m:sSub>
              <m:sSubPr>
                <m:ctrlPr>
                  <w:rPr>
                    <w:rFonts w:ascii="Cambria Math" w:hAnsi="Cambria Math"/>
                    <w:i/>
                  </w:rPr>
                </m:ctrlPr>
              </m:sSubPr>
              <m:e>
                <m:r>
                  <w:rPr>
                    <w:rFonts w:ascii="Cambria Math" w:hAnsi="Cambria Math"/>
                  </w:rPr>
                  <m:t>β</m:t>
                </m:r>
              </m:e>
              <m:sub>
                <m:r>
                  <w:rPr>
                    <w:rFonts w:ascii="Cambria Math"/>
                  </w:rPr>
                  <m:t>2</m:t>
                </m:r>
              </m:sub>
            </m:sSub>
            <m:r>
              <w:rPr>
                <w:rFonts w:ascii="Cambria Math"/>
              </w:rPr>
              <m:t>RE</m:t>
            </m:r>
            <m:sSub>
              <m:sSubPr>
                <m:ctrlPr>
                  <w:rPr>
                    <w:rFonts w:ascii="Cambria Math" w:hAnsi="Cambria Math"/>
                    <w:i/>
                  </w:rPr>
                </m:ctrlPr>
              </m:sSubPr>
              <m:e>
                <m:r>
                  <w:rPr>
                    <w:rFonts w:ascii="Cambria Math"/>
                  </w:rPr>
                  <m:t>L</m:t>
                </m:r>
              </m:e>
              <m:sub>
                <m:r>
                  <w:rPr>
                    <w:rFonts w:ascii="Cambria Math" w:hAnsi="Cambria Math"/>
                  </w:rPr>
                  <m:t>i</m:t>
                </m:r>
              </m:sub>
            </m:sSub>
            <m:r>
              <w:rPr>
                <w:rFonts w:ascii="Cambria Math"/>
              </w:rPr>
              <m:t>+</m:t>
            </m:r>
            <m:r>
              <w:rPr>
                <w:rFonts w:ascii="Cambria Math" w:hAnsi="Cambria Math"/>
              </w:rPr>
              <m:t>β</m:t>
            </m:r>
          </m:e>
          <m:sub>
            <m:r>
              <w:rPr>
                <w:rFonts w:ascii="Cambria Math"/>
              </w:rPr>
              <m:t>3</m:t>
            </m:r>
          </m:sub>
        </m:sSub>
        <m:r>
          <w:rPr>
            <w:rFonts w:ascii="Cambria Math" w:hAnsi="Cambria Math"/>
          </w:rPr>
          <m:t>AG</m:t>
        </m:r>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rPr>
          <m:t>+</m:t>
        </m:r>
        <m:sSub>
          <m:sSubPr>
            <m:ctrlPr>
              <w:rPr>
                <w:rFonts w:ascii="Cambria Math" w:hAnsi="Cambria Math"/>
                <w:i/>
              </w:rPr>
            </m:ctrlPr>
          </m:sSubPr>
          <m:e>
            <m:r>
              <w:rPr>
                <w:rFonts w:ascii="Cambria Math" w:hAnsi="Cambria Math"/>
              </w:rPr>
              <m:t>β</m:t>
            </m:r>
          </m:e>
          <m:sub>
            <m:r>
              <w:rPr>
                <w:rFonts w:ascii="Cambria Math"/>
              </w:rPr>
              <m:t>4</m:t>
            </m:r>
          </m:sub>
        </m:sSub>
        <m:r>
          <w:rPr>
            <w:rFonts w:ascii="Cambria Math"/>
          </w:rPr>
          <m:t>MSTATU</m:t>
        </m:r>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rPr>
          <m:t xml:space="preserve"> +</m:t>
        </m:r>
        <m:sSub>
          <m:sSubPr>
            <m:ctrlPr>
              <w:rPr>
                <w:rFonts w:ascii="Cambria Math" w:hAnsi="Cambria Math"/>
                <w:i/>
              </w:rPr>
            </m:ctrlPr>
          </m:sSubPr>
          <m:e>
            <m:r>
              <w:rPr>
                <w:rFonts w:ascii="Cambria Math" w:hAnsi="Cambria Math"/>
              </w:rPr>
              <m:t>β</m:t>
            </m:r>
          </m:e>
          <m:sub>
            <m:r>
              <w:rPr>
                <w:rFonts w:ascii="Cambria Math"/>
              </w:rPr>
              <m:t>5</m:t>
            </m:r>
          </m:sub>
        </m:sSub>
        <m:r>
          <w:rPr>
            <w:rFonts w:ascii="Cambria Math" w:hAnsi="Cambria Math"/>
          </w:rPr>
          <m:t>HH</m:t>
        </m:r>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rPr>
          <m:t xml:space="preserve"> +</m:t>
        </m:r>
        <m:sSub>
          <m:sSubPr>
            <m:ctrlPr>
              <w:rPr>
                <w:rFonts w:ascii="Cambria Math" w:hAnsi="Cambria Math"/>
                <w:i/>
              </w:rPr>
            </m:ctrlPr>
          </m:sSubPr>
          <m:e>
            <m:r>
              <w:rPr>
                <w:rFonts w:ascii="Cambria Math" w:hAnsi="Cambria Math"/>
              </w:rPr>
              <m:t>β</m:t>
            </m:r>
          </m:e>
          <m:sub>
            <m:r>
              <w:rPr>
                <w:rFonts w:ascii="Cambria Math"/>
              </w:rPr>
              <m:t>6</m:t>
            </m:r>
          </m:sub>
        </m:sSub>
        <m:sSub>
          <m:sSubPr>
            <m:ctrlPr>
              <w:rPr>
                <w:rFonts w:ascii="Cambria Math" w:hAnsi="Cambria Math"/>
                <w:i/>
              </w:rPr>
            </m:ctrlPr>
          </m:sSubPr>
          <m:e>
            <m:r>
              <w:rPr>
                <w:rFonts w:ascii="Cambria Math" w:hAnsi="Cambria Math"/>
              </w:rPr>
              <m:t>INC</m:t>
            </m:r>
          </m:e>
          <m:sub>
            <m:r>
              <w:rPr>
                <w:rFonts w:ascii="Cambria Math" w:hAnsi="Cambria Math"/>
              </w:rPr>
              <m:t>i</m:t>
            </m:r>
          </m:sub>
        </m:sSub>
        <m:r>
          <w:rPr>
            <w:rFonts w:ascii="Cambria Math"/>
          </w:rPr>
          <m:t xml:space="preserve">+ </m:t>
        </m:r>
        <m:sSub>
          <m:sSubPr>
            <m:ctrlPr>
              <w:rPr>
                <w:rFonts w:ascii="Cambria Math" w:hAnsi="Cambria Math"/>
                <w:i/>
              </w:rPr>
            </m:ctrlPr>
          </m:sSubPr>
          <m:e>
            <m:r>
              <w:rPr>
                <w:rFonts w:ascii="Cambria Math" w:hAnsi="Cambria Math"/>
              </w:rPr>
              <m:t>β</m:t>
            </m:r>
          </m:e>
          <m:sub>
            <m:r>
              <w:rPr>
                <w:rFonts w:ascii="Cambria Math"/>
              </w:rPr>
              <m:t>7</m:t>
            </m:r>
          </m:sub>
        </m:sSub>
        <m:r>
          <w:rPr>
            <w:rFonts w:ascii="Cambria Math" w:hAnsi="Cambria Math"/>
          </w:rPr>
          <m:t>LO</m:t>
        </m:r>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rPr>
          <m:t>+</m:t>
        </m:r>
        <m:sSub>
          <m:sSubPr>
            <m:ctrlPr>
              <w:rPr>
                <w:rFonts w:ascii="Cambria Math" w:hAnsi="Cambria Math"/>
                <w:i/>
              </w:rPr>
            </m:ctrlPr>
          </m:sSubPr>
          <m:e>
            <m:r>
              <w:rPr>
                <w:rFonts w:ascii="Cambria Math"/>
              </w:rPr>
              <m:t>+</m:t>
            </m:r>
            <m:r>
              <w:rPr>
                <w:rFonts w:ascii="Cambria Math" w:hAnsi="Cambria Math"/>
              </w:rPr>
              <m:t>β</m:t>
            </m:r>
          </m:e>
          <m:sub>
            <m:r>
              <w:rPr>
                <w:rFonts w:ascii="Cambria Math"/>
              </w:rPr>
              <m:t>8</m:t>
            </m:r>
          </m:sub>
        </m:sSub>
        <m:r>
          <w:rPr>
            <w:rFonts w:ascii="Cambria Math" w:hAnsi="Cambria Math"/>
          </w:rPr>
          <m:t>BE</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rPr>
          <m:t>+</m:t>
        </m:r>
        <m:sSub>
          <m:sSubPr>
            <m:ctrlPr>
              <w:rPr>
                <w:rFonts w:ascii="Cambria Math" w:hAnsi="Cambria Math"/>
                <w:i/>
              </w:rPr>
            </m:ctrlPr>
          </m:sSubPr>
          <m:e>
            <m:r>
              <w:rPr>
                <w:rFonts w:ascii="Cambria Math" w:hAnsi="Cambria Math"/>
              </w:rPr>
              <m:t>β</m:t>
            </m:r>
          </m:e>
          <m:sub>
            <m:r>
              <w:rPr>
                <w:rFonts w:ascii="Cambria Math"/>
              </w:rPr>
              <m:t>9</m:t>
            </m:r>
          </m:sub>
        </m:sSub>
        <m:sSub>
          <m:sSubPr>
            <m:ctrlPr>
              <w:rPr>
                <w:rFonts w:ascii="Cambria Math" w:hAnsi="Cambria Math"/>
                <w:i/>
              </w:rPr>
            </m:ctrlPr>
          </m:sSubPr>
          <m:e>
            <m:r>
              <w:rPr>
                <w:rFonts w:ascii="Cambria Math" w:hAnsi="Cambria Math"/>
              </w:rPr>
              <m:t>ACT</m:t>
            </m:r>
          </m:e>
          <m:sub>
            <m:r>
              <w:rPr>
                <w:rFonts w:ascii="Cambria Math" w:hAnsi="Cambria Math"/>
              </w:rPr>
              <m:t>i</m:t>
            </m:r>
          </m:sub>
        </m:sSub>
        <m:r>
          <w:rPr>
            <w:rFonts w:ascii="Cambria Math"/>
          </w:rPr>
          <m:t>+</m:t>
        </m:r>
        <m:sSub>
          <m:sSubPr>
            <m:ctrlPr>
              <w:rPr>
                <w:rFonts w:ascii="Cambria Math" w:hAnsi="Cambria Math"/>
                <w:i/>
              </w:rPr>
            </m:ctrlPr>
          </m:sSubPr>
          <m:e>
            <m:r>
              <w:rPr>
                <w:rFonts w:ascii="Cambria Math" w:hAnsi="Cambria Math"/>
              </w:rPr>
              <m:t>β</m:t>
            </m:r>
          </m:e>
          <m:sub>
            <m:r>
              <w:rPr>
                <w:rFonts w:ascii="Cambria Math"/>
              </w:rPr>
              <m:t>10</m:t>
            </m:r>
          </m:sub>
        </m:sSub>
        <m:sSub>
          <m:sSubPr>
            <m:ctrlPr>
              <w:rPr>
                <w:rFonts w:ascii="Cambria Math" w:hAnsi="Cambria Math"/>
                <w:i/>
              </w:rPr>
            </m:ctrlPr>
          </m:sSubPr>
          <m:e>
            <m:r>
              <w:rPr>
                <w:rFonts w:ascii="Cambria Math" w:hAnsi="Cambria Math"/>
              </w:rPr>
              <m:t>TNIF</m:t>
            </m:r>
          </m:e>
          <m:sub>
            <m:r>
              <w:rPr>
                <w:rFonts w:ascii="Cambria Math" w:hAnsi="Cambria Math"/>
              </w:rPr>
              <m:t>i</m:t>
            </m:r>
          </m:sub>
        </m:sSub>
        <m:r>
          <w:rPr>
            <w:rFonts w:ascii="Cambria Math"/>
          </w:rPr>
          <m:t>+</m:t>
        </m:r>
        <m:sSub>
          <m:sSubPr>
            <m:ctrlPr>
              <w:rPr>
                <w:rFonts w:ascii="Cambria Math" w:hAnsi="Cambria Math"/>
                <w:i/>
              </w:rPr>
            </m:ctrlPr>
          </m:sSubPr>
          <m:e>
            <m:r>
              <w:rPr>
                <w:rFonts w:ascii="Cambria Math" w:hAnsi="Cambria Math"/>
              </w:rPr>
              <m:t>β</m:t>
            </m:r>
          </m:e>
          <m:sub>
            <m:r>
              <w:rPr>
                <w:rFonts w:ascii="Cambria Math"/>
              </w:rPr>
              <m:t>11</m:t>
            </m:r>
          </m:sub>
        </m:sSub>
        <m:sSub>
          <m:sSubPr>
            <m:ctrlPr>
              <w:rPr>
                <w:rFonts w:ascii="Cambria Math" w:hAnsi="Cambria Math"/>
                <w:i/>
              </w:rPr>
            </m:ctrlPr>
          </m:sSubPr>
          <m:e>
            <m:r>
              <w:rPr>
                <w:rFonts w:ascii="Cambria Math" w:hAnsi="Cambria Math"/>
              </w:rPr>
              <m:t>INVNIF</m:t>
            </m:r>
          </m:e>
          <m:sub>
            <m:r>
              <w:rPr>
                <w:rFonts w:ascii="Cambria Math" w:hAnsi="Cambria Math"/>
              </w:rPr>
              <m:t>i</m:t>
            </m:r>
          </m:sub>
        </m:sSub>
        <m:r>
          <w:rPr>
            <w:rFonts w:ascii="Cambria Math"/>
          </w:rPr>
          <m:t>+</m:t>
        </m:r>
        <m:sSub>
          <m:sSubPr>
            <m:ctrlPr>
              <w:rPr>
                <w:rFonts w:ascii="Cambria Math" w:hAnsi="Cambria Math"/>
                <w:i/>
              </w:rPr>
            </m:ctrlPr>
          </m:sSubPr>
          <m:e>
            <m:r>
              <w:rPr>
                <w:rFonts w:ascii="Cambria Math" w:hAnsi="Cambria Math"/>
              </w:rPr>
              <m:t>β</m:t>
            </m:r>
          </m:e>
          <m:sub>
            <m:r>
              <w:rPr>
                <w:rFonts w:ascii="Cambria Math"/>
              </w:rPr>
              <m:t>12</m:t>
            </m:r>
          </m:sub>
        </m:sSub>
        <m:sSub>
          <m:sSubPr>
            <m:ctrlPr>
              <w:rPr>
                <w:rFonts w:ascii="Cambria Math" w:hAnsi="Cambria Math"/>
                <w:i/>
              </w:rPr>
            </m:ctrlPr>
          </m:sSubPr>
          <m:e>
            <m:r>
              <w:rPr>
                <w:rFonts w:ascii="Cambria Math" w:hAnsi="Cambria Math"/>
              </w:rPr>
              <m:t>MCS</m:t>
            </m:r>
          </m:e>
          <m:sub>
            <m:r>
              <w:rPr>
                <w:rFonts w:ascii="Cambria Math" w:hAnsi="Cambria Math"/>
              </w:rPr>
              <m:t>i</m:t>
            </m:r>
          </m:sub>
        </m:sSub>
        <m:r>
          <w:rPr>
            <w:rFonts w:ascii="Cambria Math"/>
          </w:rPr>
          <m:t>+</m:t>
        </m:r>
        <m:sSub>
          <m:sSubPr>
            <m:ctrlPr>
              <w:rPr>
                <w:rFonts w:ascii="Cambria Math" w:hAnsi="Cambria Math"/>
                <w:i/>
              </w:rPr>
            </m:ctrlPr>
          </m:sSubPr>
          <m:e>
            <m:r>
              <w:rPr>
                <w:rFonts w:ascii="Cambria Math" w:hAnsi="Cambria Math"/>
              </w:rPr>
              <m:t>U</m:t>
            </m:r>
          </m:e>
          <m:sub>
            <m:r>
              <w:rPr>
                <w:rFonts w:ascii="Cambria Math" w:hAnsi="Cambria Math"/>
              </w:rPr>
              <m:t>i</m:t>
            </m:r>
          </m:sub>
        </m:sSub>
        <m:r>
          <w:rPr>
            <w:rFonts w:ascii="Cambria Math"/>
          </w:rPr>
          <m:t xml:space="preserve">                                                                     (8)</m:t>
        </m:r>
      </m:oMath>
      <w:r w:rsidRPr="00DD6EC5">
        <w:tab/>
      </w:r>
      <w:r w:rsidRPr="00DD6EC5">
        <w:tab/>
      </w:r>
      <w:r w:rsidRPr="00DD6EC5">
        <w:tab/>
      </w:r>
    </w:p>
    <w:p w:rsidR="00111DC4" w:rsidRPr="00DD6EC5" w:rsidRDefault="00111DC4" w:rsidP="00111DC4">
      <w:pPr>
        <w:jc w:val="both"/>
      </w:pPr>
    </w:p>
    <w:p w:rsidR="009042EF" w:rsidRDefault="009042EF" w:rsidP="00111DC4">
      <w:pPr>
        <w:jc w:val="both"/>
      </w:pPr>
    </w:p>
    <w:p w:rsidR="00111DC4" w:rsidRPr="00DD6EC5" w:rsidRDefault="00111DC4" w:rsidP="00111DC4">
      <w:pPr>
        <w:jc w:val="both"/>
      </w:pPr>
      <w:r w:rsidRPr="00DD6EC5">
        <w:t>Where:</w:t>
      </w:r>
    </w:p>
    <w:p w:rsidR="00111DC4" w:rsidRPr="00DD6EC5" w:rsidRDefault="00111DC4" w:rsidP="00111DC4">
      <w:pPr>
        <w:pStyle w:val="NoSpacing"/>
        <w:spacing w:line="276" w:lineRule="auto"/>
        <w:ind w:firstLine="284"/>
        <w:jc w:val="both"/>
        <w:rPr>
          <w:rFonts w:ascii="Times New Roman" w:eastAsiaTheme="minorEastAsia" w:hAnsi="Times New Roman" w:cs="Times New Roman"/>
          <w:sz w:val="20"/>
          <w:szCs w:val="20"/>
        </w:rPr>
      </w:pPr>
      <w:r w:rsidRPr="00DD6EC5">
        <w:rPr>
          <w:rFonts w:ascii="Times New Roman" w:eastAsiaTheme="minorEastAsia" w:hAnsi="Times New Roman" w:cs="Times New Roman"/>
          <w:sz w:val="20"/>
          <w:szCs w:val="20"/>
        </w:rPr>
        <w:t>P</w:t>
      </w:r>
      <w:r w:rsidRPr="00DD6EC5">
        <w:rPr>
          <w:rFonts w:ascii="Times New Roman" w:eastAsiaTheme="minorEastAsia" w:hAnsi="Times New Roman" w:cs="Times New Roman"/>
          <w:sz w:val="20"/>
          <w:szCs w:val="20"/>
          <w:vertAlign w:val="subscript"/>
        </w:rPr>
        <w:t>i</w:t>
      </w:r>
      <w:r w:rsidRPr="00DD6EC5">
        <w:rPr>
          <w:rFonts w:ascii="Times New Roman" w:eastAsiaTheme="minorEastAsia" w:hAnsi="Times New Roman" w:cs="Times New Roman"/>
          <w:sz w:val="20"/>
          <w:szCs w:val="20"/>
        </w:rPr>
        <w:t xml:space="preserve"> = probability that the savings of clients increases</w:t>
      </w:r>
    </w:p>
    <w:p w:rsidR="00111DC4" w:rsidRPr="00DD6EC5" w:rsidRDefault="00111DC4" w:rsidP="00111DC4">
      <w:pPr>
        <w:jc w:val="both"/>
      </w:pPr>
      <w:r w:rsidRPr="00DD6EC5">
        <w:rPr>
          <w:rFonts w:eastAsiaTheme="minorEastAsia"/>
        </w:rPr>
        <w:t>1– P</w:t>
      </w:r>
      <w:r w:rsidRPr="00DD6EC5">
        <w:rPr>
          <w:rFonts w:eastAsiaTheme="minorEastAsia"/>
          <w:vertAlign w:val="subscript"/>
        </w:rPr>
        <w:t>i</w:t>
      </w:r>
      <w:r w:rsidRPr="00DD6EC5">
        <w:rPr>
          <w:rFonts w:eastAsiaTheme="minorEastAsia"/>
        </w:rPr>
        <w:t xml:space="preserve"> = probability of otherwise</w:t>
      </w:r>
    </w:p>
    <w:tbl>
      <w:tblPr>
        <w:tblStyle w:val="TableGrid"/>
        <w:tblW w:w="0" w:type="auto"/>
        <w:tblBorders>
          <w:bottom w:val="none" w:sz="0" w:space="0" w:color="auto"/>
        </w:tblBorders>
        <w:tblLook w:val="04A0" w:firstRow="1" w:lastRow="0" w:firstColumn="1" w:lastColumn="0" w:noHBand="0" w:noVBand="1"/>
      </w:tblPr>
      <w:tblGrid>
        <w:gridCol w:w="1387"/>
        <w:gridCol w:w="846"/>
        <w:gridCol w:w="7325"/>
      </w:tblGrid>
      <w:tr w:rsidR="00111DC4" w:rsidRPr="00DD6EC5" w:rsidTr="009214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111DC4" w:rsidRPr="00DD6EC5" w:rsidRDefault="00111DC4" w:rsidP="00921457">
            <w:pPr>
              <w:autoSpaceDE w:val="0"/>
              <w:autoSpaceDN w:val="0"/>
              <w:adjustRightInd w:val="0"/>
              <w:spacing w:line="276" w:lineRule="auto"/>
              <w:jc w:val="both"/>
              <w:rPr>
                <w:b w:val="0"/>
                <w:bCs/>
                <w:sz w:val="20"/>
                <w:szCs w:val="20"/>
              </w:rPr>
            </w:pPr>
            <w:proofErr w:type="spellStart"/>
            <w:r w:rsidRPr="00DD6EC5">
              <w:rPr>
                <w:b w:val="0"/>
                <w:bCs/>
                <w:sz w:val="20"/>
                <w:szCs w:val="20"/>
              </w:rPr>
              <w:t>GND</w:t>
            </w:r>
            <w:r w:rsidRPr="00DD6EC5">
              <w:rPr>
                <w:b w:val="0"/>
                <w:bCs/>
                <w:sz w:val="20"/>
                <w:szCs w:val="20"/>
                <w:vertAlign w:val="subscript"/>
              </w:rPr>
              <w:t>i</w:t>
            </w:r>
            <w:proofErr w:type="spellEnd"/>
          </w:p>
        </w:tc>
        <w:tc>
          <w:tcPr>
            <w:tcW w:w="84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111DC4" w:rsidRPr="00DD6EC5" w:rsidRDefault="00111DC4" w:rsidP="00921457">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b w:val="0"/>
                <w:bCs/>
                <w:sz w:val="20"/>
                <w:szCs w:val="20"/>
              </w:rPr>
            </w:pPr>
            <w:r w:rsidRPr="00DD6EC5">
              <w:rPr>
                <w:b w:val="0"/>
                <w:bCs/>
                <w:sz w:val="20"/>
                <w:szCs w:val="20"/>
              </w:rPr>
              <w:t>=</w:t>
            </w:r>
          </w:p>
        </w:tc>
        <w:tc>
          <w:tcPr>
            <w:tcW w:w="732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111DC4" w:rsidRPr="00DD6EC5" w:rsidRDefault="00111DC4" w:rsidP="00921457">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b w:val="0"/>
                <w:bCs/>
                <w:sz w:val="20"/>
                <w:szCs w:val="20"/>
              </w:rPr>
            </w:pPr>
            <w:r w:rsidRPr="00DD6EC5">
              <w:rPr>
                <w:b w:val="0"/>
                <w:bCs/>
                <w:sz w:val="20"/>
                <w:szCs w:val="20"/>
              </w:rPr>
              <w:t>Gender of the head of the borrower</w:t>
            </w:r>
          </w:p>
        </w:tc>
      </w:tr>
      <w:tr w:rsidR="00111DC4" w:rsidRPr="00DD6EC5" w:rsidTr="00921457">
        <w:tc>
          <w:tcPr>
            <w:cnfStyle w:val="001000000000" w:firstRow="0" w:lastRow="0" w:firstColumn="1" w:lastColumn="0" w:oddVBand="0" w:evenVBand="0" w:oddHBand="0" w:evenHBand="0" w:firstRowFirstColumn="0" w:firstRowLastColumn="0" w:lastRowFirstColumn="0" w:lastRowLastColumn="0"/>
            <w:tcW w:w="1387" w:type="dxa"/>
          </w:tcPr>
          <w:p w:rsidR="00111DC4" w:rsidRPr="00DD6EC5" w:rsidRDefault="00111DC4" w:rsidP="00921457">
            <w:pPr>
              <w:autoSpaceDE w:val="0"/>
              <w:autoSpaceDN w:val="0"/>
              <w:adjustRightInd w:val="0"/>
              <w:jc w:val="both"/>
              <w:rPr>
                <w:rFonts w:cs="Times New Roman"/>
                <w:sz w:val="20"/>
                <w:szCs w:val="20"/>
              </w:rPr>
            </w:pPr>
            <w:proofErr w:type="spellStart"/>
            <w:r w:rsidRPr="00DD6EC5">
              <w:rPr>
                <w:rFonts w:cs="Times New Roman"/>
                <w:sz w:val="20"/>
                <w:szCs w:val="20"/>
              </w:rPr>
              <w:t>RELi</w:t>
            </w:r>
            <w:proofErr w:type="spellEnd"/>
          </w:p>
        </w:tc>
        <w:tc>
          <w:tcPr>
            <w:tcW w:w="846" w:type="dxa"/>
          </w:tcPr>
          <w:p w:rsidR="00111DC4" w:rsidRPr="00DD6EC5" w:rsidRDefault="00111DC4" w:rsidP="009214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7325" w:type="dxa"/>
          </w:tcPr>
          <w:p w:rsidR="00111DC4" w:rsidRPr="00DD6EC5" w:rsidRDefault="00111DC4" w:rsidP="009214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D6EC5">
              <w:rPr>
                <w:rFonts w:cs="Times New Roman"/>
                <w:sz w:val="20"/>
                <w:szCs w:val="20"/>
              </w:rPr>
              <w:t>Religion of the household head</w:t>
            </w:r>
          </w:p>
        </w:tc>
      </w:tr>
      <w:tr w:rsidR="00111DC4" w:rsidRPr="00DD6EC5" w:rsidTr="00921457">
        <w:tc>
          <w:tcPr>
            <w:cnfStyle w:val="001000000000" w:firstRow="0" w:lastRow="0" w:firstColumn="1" w:lastColumn="0" w:oddVBand="0" w:evenVBand="0" w:oddHBand="0" w:evenHBand="0" w:firstRowFirstColumn="0" w:firstRowLastColumn="0" w:lastRowFirstColumn="0" w:lastRowLastColumn="0"/>
            <w:tcW w:w="1387" w:type="dxa"/>
          </w:tcPr>
          <w:p w:rsidR="00111DC4" w:rsidRPr="00DD6EC5" w:rsidRDefault="00111DC4" w:rsidP="00921457">
            <w:pPr>
              <w:autoSpaceDE w:val="0"/>
              <w:autoSpaceDN w:val="0"/>
              <w:adjustRightInd w:val="0"/>
              <w:spacing w:line="276" w:lineRule="auto"/>
              <w:jc w:val="both"/>
              <w:rPr>
                <w:rFonts w:cs="Times New Roman"/>
                <w:bCs/>
                <w:sz w:val="20"/>
                <w:szCs w:val="20"/>
              </w:rPr>
            </w:pPr>
            <w:proofErr w:type="spellStart"/>
            <w:r w:rsidRPr="00DD6EC5">
              <w:rPr>
                <w:rFonts w:cs="Times New Roman"/>
                <w:bCs/>
                <w:sz w:val="20"/>
                <w:szCs w:val="20"/>
              </w:rPr>
              <w:t>AGE</w:t>
            </w:r>
            <w:r w:rsidRPr="00DD6EC5">
              <w:rPr>
                <w:rFonts w:cs="Times New Roman"/>
                <w:bCs/>
                <w:sz w:val="20"/>
                <w:szCs w:val="20"/>
                <w:vertAlign w:val="subscript"/>
              </w:rPr>
              <w:t>i</w:t>
            </w:r>
            <w:proofErr w:type="spellEnd"/>
          </w:p>
        </w:tc>
        <w:tc>
          <w:tcPr>
            <w:tcW w:w="846" w:type="dxa"/>
          </w:tcPr>
          <w:p w:rsidR="00111DC4" w:rsidRPr="00DD6EC5" w:rsidRDefault="00111DC4" w:rsidP="00921457">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DD6EC5">
              <w:rPr>
                <w:rFonts w:cs="Times New Roman"/>
                <w:bCs/>
                <w:sz w:val="20"/>
                <w:szCs w:val="20"/>
              </w:rPr>
              <w:t>=</w:t>
            </w:r>
          </w:p>
        </w:tc>
        <w:tc>
          <w:tcPr>
            <w:tcW w:w="7325" w:type="dxa"/>
          </w:tcPr>
          <w:p w:rsidR="00111DC4" w:rsidRPr="00DD6EC5" w:rsidRDefault="00111DC4" w:rsidP="00921457">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cs="Times New Roman"/>
                <w:bCs/>
                <w:sz w:val="20"/>
                <w:szCs w:val="20"/>
              </w:rPr>
            </w:pPr>
            <w:r w:rsidRPr="00DD6EC5">
              <w:rPr>
                <w:rFonts w:cs="Times New Roman"/>
                <w:bCs/>
                <w:sz w:val="20"/>
                <w:szCs w:val="20"/>
              </w:rPr>
              <w:t xml:space="preserve">Age of the head of the borrower </w:t>
            </w:r>
          </w:p>
        </w:tc>
      </w:tr>
      <w:tr w:rsidR="00111DC4" w:rsidRPr="00DD6EC5" w:rsidTr="00921457">
        <w:tc>
          <w:tcPr>
            <w:cnfStyle w:val="001000000000" w:firstRow="0" w:lastRow="0" w:firstColumn="1" w:lastColumn="0" w:oddVBand="0" w:evenVBand="0" w:oddHBand="0" w:evenHBand="0" w:firstRowFirstColumn="0" w:firstRowLastColumn="0" w:lastRowFirstColumn="0" w:lastRowLastColumn="0"/>
            <w:tcW w:w="1387" w:type="dxa"/>
          </w:tcPr>
          <w:p w:rsidR="00111DC4" w:rsidRPr="00DD6EC5" w:rsidRDefault="00111DC4" w:rsidP="00921457">
            <w:pPr>
              <w:autoSpaceDE w:val="0"/>
              <w:autoSpaceDN w:val="0"/>
              <w:adjustRightInd w:val="0"/>
              <w:jc w:val="both"/>
              <w:rPr>
                <w:rFonts w:cs="Times New Roman"/>
                <w:sz w:val="20"/>
                <w:szCs w:val="20"/>
              </w:rPr>
            </w:pPr>
            <w:proofErr w:type="spellStart"/>
            <w:r w:rsidRPr="00DD6EC5">
              <w:rPr>
                <w:rFonts w:cs="Times New Roman"/>
                <w:sz w:val="20"/>
                <w:szCs w:val="20"/>
              </w:rPr>
              <w:t>MSTATUSi</w:t>
            </w:r>
            <w:proofErr w:type="spellEnd"/>
          </w:p>
        </w:tc>
        <w:tc>
          <w:tcPr>
            <w:tcW w:w="846" w:type="dxa"/>
          </w:tcPr>
          <w:p w:rsidR="00111DC4" w:rsidRPr="00DD6EC5" w:rsidRDefault="00111DC4" w:rsidP="009214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D6EC5">
              <w:rPr>
                <w:rFonts w:cs="Times New Roman"/>
                <w:sz w:val="20"/>
                <w:szCs w:val="20"/>
              </w:rPr>
              <w:t>=</w:t>
            </w:r>
          </w:p>
        </w:tc>
        <w:tc>
          <w:tcPr>
            <w:tcW w:w="7325" w:type="dxa"/>
          </w:tcPr>
          <w:p w:rsidR="00111DC4" w:rsidRPr="00DD6EC5" w:rsidRDefault="00111DC4" w:rsidP="009214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D6EC5">
              <w:rPr>
                <w:rFonts w:cs="Times New Roman"/>
                <w:sz w:val="20"/>
                <w:szCs w:val="20"/>
              </w:rPr>
              <w:t>Marital status of the household head</w:t>
            </w:r>
          </w:p>
        </w:tc>
      </w:tr>
      <w:tr w:rsidR="00111DC4" w:rsidRPr="00DD6EC5" w:rsidTr="00921457">
        <w:tc>
          <w:tcPr>
            <w:cnfStyle w:val="001000000000" w:firstRow="0" w:lastRow="0" w:firstColumn="1" w:lastColumn="0" w:oddVBand="0" w:evenVBand="0" w:oddHBand="0" w:evenHBand="0" w:firstRowFirstColumn="0" w:firstRowLastColumn="0" w:lastRowFirstColumn="0" w:lastRowLastColumn="0"/>
            <w:tcW w:w="1387" w:type="dxa"/>
          </w:tcPr>
          <w:p w:rsidR="00111DC4" w:rsidRPr="00DD6EC5" w:rsidRDefault="00111DC4" w:rsidP="00921457">
            <w:pPr>
              <w:autoSpaceDE w:val="0"/>
              <w:autoSpaceDN w:val="0"/>
              <w:adjustRightInd w:val="0"/>
              <w:spacing w:line="276" w:lineRule="auto"/>
              <w:jc w:val="both"/>
              <w:rPr>
                <w:rFonts w:cs="Times New Roman"/>
                <w:sz w:val="20"/>
                <w:szCs w:val="20"/>
              </w:rPr>
            </w:pPr>
            <w:proofErr w:type="spellStart"/>
            <w:r w:rsidRPr="00DD6EC5">
              <w:rPr>
                <w:rFonts w:cs="Times New Roman"/>
                <w:sz w:val="20"/>
                <w:szCs w:val="20"/>
              </w:rPr>
              <w:t>HHS</w:t>
            </w:r>
            <w:r w:rsidRPr="00DD6EC5">
              <w:rPr>
                <w:rFonts w:cs="Times New Roman"/>
                <w:sz w:val="20"/>
                <w:szCs w:val="20"/>
                <w:vertAlign w:val="subscript"/>
              </w:rPr>
              <w:t>i</w:t>
            </w:r>
            <w:proofErr w:type="spellEnd"/>
          </w:p>
        </w:tc>
        <w:tc>
          <w:tcPr>
            <w:tcW w:w="846" w:type="dxa"/>
          </w:tcPr>
          <w:p w:rsidR="00111DC4" w:rsidRPr="00DD6EC5" w:rsidRDefault="00111DC4" w:rsidP="00921457">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D6EC5">
              <w:rPr>
                <w:rFonts w:cs="Times New Roman"/>
                <w:sz w:val="20"/>
                <w:szCs w:val="20"/>
              </w:rPr>
              <w:t>=</w:t>
            </w:r>
          </w:p>
        </w:tc>
        <w:tc>
          <w:tcPr>
            <w:tcW w:w="7325" w:type="dxa"/>
          </w:tcPr>
          <w:p w:rsidR="00111DC4" w:rsidRPr="00DD6EC5" w:rsidRDefault="00111DC4" w:rsidP="00921457">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D6EC5">
              <w:rPr>
                <w:rFonts w:cs="Times New Roman"/>
                <w:sz w:val="20"/>
                <w:szCs w:val="20"/>
              </w:rPr>
              <w:t xml:space="preserve">Size of the household </w:t>
            </w:r>
          </w:p>
        </w:tc>
      </w:tr>
      <w:tr w:rsidR="00111DC4" w:rsidRPr="00DD6EC5" w:rsidTr="00921457">
        <w:tc>
          <w:tcPr>
            <w:cnfStyle w:val="001000000000" w:firstRow="0" w:lastRow="0" w:firstColumn="1" w:lastColumn="0" w:oddVBand="0" w:evenVBand="0" w:oddHBand="0" w:evenHBand="0" w:firstRowFirstColumn="0" w:firstRowLastColumn="0" w:lastRowFirstColumn="0" w:lastRowLastColumn="0"/>
            <w:tcW w:w="1387" w:type="dxa"/>
          </w:tcPr>
          <w:p w:rsidR="00111DC4" w:rsidRPr="00DD6EC5" w:rsidRDefault="00111DC4" w:rsidP="00921457">
            <w:pPr>
              <w:autoSpaceDE w:val="0"/>
              <w:autoSpaceDN w:val="0"/>
              <w:adjustRightInd w:val="0"/>
              <w:spacing w:line="276" w:lineRule="auto"/>
              <w:jc w:val="both"/>
              <w:rPr>
                <w:rFonts w:cs="Times New Roman"/>
                <w:sz w:val="20"/>
                <w:szCs w:val="20"/>
              </w:rPr>
            </w:pPr>
            <w:proofErr w:type="spellStart"/>
            <w:r w:rsidRPr="00DD6EC5">
              <w:rPr>
                <w:rFonts w:cs="Times New Roman"/>
                <w:sz w:val="20"/>
                <w:szCs w:val="20"/>
              </w:rPr>
              <w:t>INC</w:t>
            </w:r>
            <w:r w:rsidRPr="00DD6EC5">
              <w:rPr>
                <w:rFonts w:cs="Times New Roman"/>
                <w:sz w:val="20"/>
                <w:szCs w:val="20"/>
                <w:vertAlign w:val="subscript"/>
              </w:rPr>
              <w:t>i</w:t>
            </w:r>
            <w:proofErr w:type="spellEnd"/>
          </w:p>
        </w:tc>
        <w:tc>
          <w:tcPr>
            <w:tcW w:w="846" w:type="dxa"/>
          </w:tcPr>
          <w:p w:rsidR="00111DC4" w:rsidRPr="00DD6EC5" w:rsidRDefault="00111DC4" w:rsidP="00921457">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D6EC5">
              <w:rPr>
                <w:rFonts w:cs="Times New Roman"/>
                <w:sz w:val="20"/>
                <w:szCs w:val="20"/>
              </w:rPr>
              <w:t>=</w:t>
            </w:r>
          </w:p>
        </w:tc>
        <w:tc>
          <w:tcPr>
            <w:tcW w:w="7325" w:type="dxa"/>
          </w:tcPr>
          <w:p w:rsidR="00111DC4" w:rsidRPr="00DD6EC5" w:rsidRDefault="00111DC4" w:rsidP="00921457">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6EC5">
              <w:rPr>
                <w:rFonts w:ascii="Times New Roman" w:eastAsiaTheme="minorEastAsia" w:hAnsi="Times New Roman" w:cs="Times New Roman"/>
                <w:sz w:val="20"/>
                <w:szCs w:val="20"/>
              </w:rPr>
              <w:t>Income of the household head</w:t>
            </w:r>
          </w:p>
        </w:tc>
      </w:tr>
      <w:tr w:rsidR="00111DC4" w:rsidRPr="00DD6EC5" w:rsidTr="00921457">
        <w:tc>
          <w:tcPr>
            <w:cnfStyle w:val="001000000000" w:firstRow="0" w:lastRow="0" w:firstColumn="1" w:lastColumn="0" w:oddVBand="0" w:evenVBand="0" w:oddHBand="0" w:evenHBand="0" w:firstRowFirstColumn="0" w:firstRowLastColumn="0" w:lastRowFirstColumn="0" w:lastRowLastColumn="0"/>
            <w:tcW w:w="1387" w:type="dxa"/>
          </w:tcPr>
          <w:p w:rsidR="00111DC4" w:rsidRPr="00DD6EC5" w:rsidRDefault="00111DC4" w:rsidP="00921457">
            <w:pPr>
              <w:autoSpaceDE w:val="0"/>
              <w:autoSpaceDN w:val="0"/>
              <w:adjustRightInd w:val="0"/>
              <w:jc w:val="both"/>
              <w:rPr>
                <w:rFonts w:cs="Times New Roman"/>
                <w:sz w:val="20"/>
                <w:szCs w:val="20"/>
              </w:rPr>
            </w:pPr>
            <w:proofErr w:type="spellStart"/>
            <w:r w:rsidRPr="00DD6EC5">
              <w:rPr>
                <w:rFonts w:cs="Times New Roman"/>
                <w:sz w:val="20"/>
                <w:szCs w:val="20"/>
              </w:rPr>
              <w:t>LOCi</w:t>
            </w:r>
            <w:proofErr w:type="spellEnd"/>
          </w:p>
        </w:tc>
        <w:tc>
          <w:tcPr>
            <w:tcW w:w="846" w:type="dxa"/>
          </w:tcPr>
          <w:p w:rsidR="00111DC4" w:rsidRPr="00DD6EC5" w:rsidRDefault="00111DC4" w:rsidP="009214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D6EC5">
              <w:rPr>
                <w:rFonts w:cs="Times New Roman"/>
                <w:sz w:val="20"/>
                <w:szCs w:val="20"/>
              </w:rPr>
              <w:t>=</w:t>
            </w:r>
          </w:p>
        </w:tc>
        <w:tc>
          <w:tcPr>
            <w:tcW w:w="7325" w:type="dxa"/>
          </w:tcPr>
          <w:p w:rsidR="00111DC4" w:rsidRPr="00DD6EC5" w:rsidRDefault="00111DC4" w:rsidP="00921457">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0"/>
                <w:szCs w:val="20"/>
              </w:rPr>
            </w:pPr>
            <w:r w:rsidRPr="00DD6EC5">
              <w:rPr>
                <w:rFonts w:ascii="Times New Roman" w:eastAsiaTheme="minorEastAsia" w:hAnsi="Times New Roman" w:cs="Times New Roman"/>
                <w:sz w:val="20"/>
                <w:szCs w:val="20"/>
              </w:rPr>
              <w:t>Location</w:t>
            </w:r>
          </w:p>
        </w:tc>
      </w:tr>
      <w:tr w:rsidR="00111DC4" w:rsidRPr="00DD6EC5" w:rsidTr="00921457">
        <w:tc>
          <w:tcPr>
            <w:cnfStyle w:val="001000000000" w:firstRow="0" w:lastRow="0" w:firstColumn="1" w:lastColumn="0" w:oddVBand="0" w:evenVBand="0" w:oddHBand="0" w:evenHBand="0" w:firstRowFirstColumn="0" w:firstRowLastColumn="0" w:lastRowFirstColumn="0" w:lastRowLastColumn="0"/>
            <w:tcW w:w="1387" w:type="dxa"/>
          </w:tcPr>
          <w:p w:rsidR="00111DC4" w:rsidRPr="00DD6EC5" w:rsidRDefault="00111DC4" w:rsidP="00921457">
            <w:pPr>
              <w:autoSpaceDE w:val="0"/>
              <w:autoSpaceDN w:val="0"/>
              <w:adjustRightInd w:val="0"/>
              <w:spacing w:line="276" w:lineRule="auto"/>
              <w:jc w:val="both"/>
              <w:rPr>
                <w:rFonts w:cs="Times New Roman"/>
                <w:sz w:val="20"/>
                <w:szCs w:val="20"/>
              </w:rPr>
            </w:pPr>
            <w:proofErr w:type="spellStart"/>
            <w:r w:rsidRPr="00DD6EC5">
              <w:rPr>
                <w:rFonts w:cs="Times New Roman"/>
                <w:sz w:val="20"/>
                <w:szCs w:val="20"/>
              </w:rPr>
              <w:t>BEX</w:t>
            </w:r>
            <w:r w:rsidRPr="00DD6EC5">
              <w:rPr>
                <w:rFonts w:cs="Times New Roman"/>
                <w:sz w:val="20"/>
                <w:szCs w:val="20"/>
                <w:vertAlign w:val="subscript"/>
              </w:rPr>
              <w:t>i</w:t>
            </w:r>
            <w:proofErr w:type="spellEnd"/>
          </w:p>
        </w:tc>
        <w:tc>
          <w:tcPr>
            <w:tcW w:w="846" w:type="dxa"/>
          </w:tcPr>
          <w:p w:rsidR="00111DC4" w:rsidRPr="00DD6EC5" w:rsidRDefault="00111DC4" w:rsidP="00921457">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D6EC5">
              <w:rPr>
                <w:rFonts w:cs="Times New Roman"/>
                <w:sz w:val="20"/>
                <w:szCs w:val="20"/>
              </w:rPr>
              <w:t>=</w:t>
            </w:r>
          </w:p>
        </w:tc>
        <w:tc>
          <w:tcPr>
            <w:tcW w:w="7325" w:type="dxa"/>
          </w:tcPr>
          <w:p w:rsidR="00111DC4" w:rsidRPr="00DD6EC5" w:rsidRDefault="00111DC4" w:rsidP="00921457">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D6EC5">
              <w:rPr>
                <w:rFonts w:cs="Times New Roman"/>
                <w:sz w:val="20"/>
                <w:szCs w:val="20"/>
              </w:rPr>
              <w:t xml:space="preserve">Years of business experience </w:t>
            </w:r>
          </w:p>
        </w:tc>
      </w:tr>
      <w:tr w:rsidR="00111DC4" w:rsidRPr="00DD6EC5" w:rsidTr="00921457">
        <w:tc>
          <w:tcPr>
            <w:cnfStyle w:val="001000000000" w:firstRow="0" w:lastRow="0" w:firstColumn="1" w:lastColumn="0" w:oddVBand="0" w:evenVBand="0" w:oddHBand="0" w:evenHBand="0" w:firstRowFirstColumn="0" w:firstRowLastColumn="0" w:lastRowFirstColumn="0" w:lastRowLastColumn="0"/>
            <w:tcW w:w="1387" w:type="dxa"/>
          </w:tcPr>
          <w:p w:rsidR="00111DC4" w:rsidRPr="00DD6EC5" w:rsidRDefault="00111DC4" w:rsidP="00921457">
            <w:pPr>
              <w:autoSpaceDE w:val="0"/>
              <w:autoSpaceDN w:val="0"/>
              <w:adjustRightInd w:val="0"/>
              <w:spacing w:line="276" w:lineRule="auto"/>
              <w:jc w:val="both"/>
              <w:rPr>
                <w:rFonts w:cs="Times New Roman"/>
                <w:sz w:val="20"/>
                <w:szCs w:val="20"/>
              </w:rPr>
            </w:pPr>
            <w:r w:rsidRPr="00DD6EC5">
              <w:rPr>
                <w:rFonts w:cs="Times New Roman"/>
                <w:sz w:val="20"/>
                <w:szCs w:val="20"/>
              </w:rPr>
              <w:t>ACT</w:t>
            </w:r>
            <w:r w:rsidRPr="00DD6EC5">
              <w:rPr>
                <w:rFonts w:cs="Times New Roman"/>
                <w:sz w:val="20"/>
                <w:szCs w:val="20"/>
                <w:vertAlign w:val="subscript"/>
              </w:rPr>
              <w:t>i</w:t>
            </w:r>
          </w:p>
        </w:tc>
        <w:tc>
          <w:tcPr>
            <w:tcW w:w="846" w:type="dxa"/>
          </w:tcPr>
          <w:p w:rsidR="00111DC4" w:rsidRPr="00DD6EC5" w:rsidRDefault="00111DC4" w:rsidP="00921457">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D6EC5">
              <w:rPr>
                <w:rFonts w:cs="Times New Roman"/>
                <w:sz w:val="20"/>
                <w:szCs w:val="20"/>
              </w:rPr>
              <w:t>=</w:t>
            </w:r>
          </w:p>
        </w:tc>
        <w:tc>
          <w:tcPr>
            <w:tcW w:w="7325" w:type="dxa"/>
          </w:tcPr>
          <w:p w:rsidR="00111DC4" w:rsidRPr="00DD6EC5" w:rsidRDefault="00111DC4" w:rsidP="00921457">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D6EC5">
              <w:rPr>
                <w:rFonts w:cs="Times New Roman"/>
                <w:sz w:val="20"/>
                <w:szCs w:val="20"/>
              </w:rPr>
              <w:t>Account type</w:t>
            </w:r>
          </w:p>
        </w:tc>
      </w:tr>
      <w:tr w:rsidR="00111DC4" w:rsidRPr="00DD6EC5" w:rsidTr="00921457">
        <w:tc>
          <w:tcPr>
            <w:cnfStyle w:val="001000000000" w:firstRow="0" w:lastRow="0" w:firstColumn="1" w:lastColumn="0" w:oddVBand="0" w:evenVBand="0" w:oddHBand="0" w:evenHBand="0" w:firstRowFirstColumn="0" w:firstRowLastColumn="0" w:lastRowFirstColumn="0" w:lastRowLastColumn="0"/>
            <w:tcW w:w="1387" w:type="dxa"/>
          </w:tcPr>
          <w:p w:rsidR="00111DC4" w:rsidRPr="00DD6EC5" w:rsidRDefault="00111DC4" w:rsidP="00921457">
            <w:pPr>
              <w:autoSpaceDE w:val="0"/>
              <w:autoSpaceDN w:val="0"/>
              <w:adjustRightInd w:val="0"/>
              <w:jc w:val="both"/>
              <w:rPr>
                <w:rFonts w:cs="Times New Roman"/>
                <w:sz w:val="20"/>
                <w:szCs w:val="20"/>
              </w:rPr>
            </w:pPr>
            <w:proofErr w:type="spellStart"/>
            <w:r w:rsidRPr="00DD6EC5">
              <w:rPr>
                <w:rFonts w:cs="Times New Roman"/>
                <w:sz w:val="20"/>
                <w:szCs w:val="20"/>
              </w:rPr>
              <w:t>TNIFi</w:t>
            </w:r>
            <w:proofErr w:type="spellEnd"/>
          </w:p>
        </w:tc>
        <w:tc>
          <w:tcPr>
            <w:tcW w:w="846" w:type="dxa"/>
          </w:tcPr>
          <w:p w:rsidR="00111DC4" w:rsidRPr="00DD6EC5" w:rsidRDefault="00111DC4" w:rsidP="009214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D6EC5">
              <w:rPr>
                <w:rFonts w:cs="Times New Roman"/>
                <w:sz w:val="20"/>
                <w:szCs w:val="20"/>
              </w:rPr>
              <w:t>=</w:t>
            </w:r>
          </w:p>
        </w:tc>
        <w:tc>
          <w:tcPr>
            <w:tcW w:w="7325" w:type="dxa"/>
          </w:tcPr>
          <w:p w:rsidR="00111DC4" w:rsidRPr="00DD6EC5" w:rsidRDefault="00111DC4" w:rsidP="009214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D6EC5">
              <w:rPr>
                <w:rFonts w:cs="Times New Roman"/>
                <w:sz w:val="20"/>
                <w:szCs w:val="20"/>
              </w:rPr>
              <w:t>Type of non interest facility</w:t>
            </w:r>
          </w:p>
        </w:tc>
      </w:tr>
      <w:tr w:rsidR="00111DC4" w:rsidRPr="00DD6EC5" w:rsidTr="00921457">
        <w:tc>
          <w:tcPr>
            <w:cnfStyle w:val="001000000000" w:firstRow="0" w:lastRow="0" w:firstColumn="1" w:lastColumn="0" w:oddVBand="0" w:evenVBand="0" w:oddHBand="0" w:evenHBand="0" w:firstRowFirstColumn="0" w:firstRowLastColumn="0" w:lastRowFirstColumn="0" w:lastRowLastColumn="0"/>
            <w:tcW w:w="1387" w:type="dxa"/>
          </w:tcPr>
          <w:p w:rsidR="00111DC4" w:rsidRPr="00DD6EC5" w:rsidRDefault="00111DC4" w:rsidP="00921457">
            <w:pPr>
              <w:autoSpaceDE w:val="0"/>
              <w:autoSpaceDN w:val="0"/>
              <w:adjustRightInd w:val="0"/>
              <w:spacing w:line="276" w:lineRule="auto"/>
              <w:jc w:val="both"/>
              <w:rPr>
                <w:rFonts w:cs="Times New Roman"/>
                <w:sz w:val="20"/>
                <w:szCs w:val="20"/>
              </w:rPr>
            </w:pPr>
            <w:r w:rsidRPr="00DD6EC5">
              <w:rPr>
                <w:rFonts w:cs="Times New Roman"/>
                <w:sz w:val="20"/>
                <w:szCs w:val="20"/>
                <w:lang w:val="en-US"/>
              </w:rPr>
              <w:t>INVNIF</w:t>
            </w:r>
            <w:proofErr w:type="spellStart"/>
            <w:r w:rsidRPr="00DD6EC5">
              <w:rPr>
                <w:rFonts w:cs="Times New Roman"/>
                <w:sz w:val="20"/>
                <w:szCs w:val="20"/>
                <w:vertAlign w:val="subscript"/>
              </w:rPr>
              <w:t>i</w:t>
            </w:r>
            <w:proofErr w:type="spellEnd"/>
          </w:p>
        </w:tc>
        <w:tc>
          <w:tcPr>
            <w:tcW w:w="846" w:type="dxa"/>
          </w:tcPr>
          <w:p w:rsidR="00111DC4" w:rsidRPr="00DD6EC5" w:rsidRDefault="00111DC4" w:rsidP="00921457">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D6EC5">
              <w:rPr>
                <w:rFonts w:cs="Times New Roman"/>
                <w:sz w:val="20"/>
                <w:szCs w:val="20"/>
              </w:rPr>
              <w:t>=</w:t>
            </w:r>
          </w:p>
        </w:tc>
        <w:tc>
          <w:tcPr>
            <w:tcW w:w="7325" w:type="dxa"/>
          </w:tcPr>
          <w:p w:rsidR="00111DC4" w:rsidRPr="00DD6EC5" w:rsidRDefault="00111DC4" w:rsidP="00921457">
            <w:pPr>
              <w:pStyle w:val="NoSpacing"/>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0"/>
                <w:szCs w:val="20"/>
              </w:rPr>
            </w:pPr>
            <w:r w:rsidRPr="00DD6EC5">
              <w:rPr>
                <w:rFonts w:ascii="Times New Roman" w:eastAsiaTheme="minorEastAsia" w:hAnsi="Times New Roman" w:cs="Times New Roman"/>
                <w:sz w:val="20"/>
                <w:szCs w:val="20"/>
              </w:rPr>
              <w:t>Investment in non interest facility</w:t>
            </w:r>
          </w:p>
        </w:tc>
      </w:tr>
      <w:tr w:rsidR="00111DC4" w:rsidRPr="00DD6EC5" w:rsidTr="00921457">
        <w:tc>
          <w:tcPr>
            <w:cnfStyle w:val="001000000000" w:firstRow="0" w:lastRow="0" w:firstColumn="1" w:lastColumn="0" w:oddVBand="0" w:evenVBand="0" w:oddHBand="0" w:evenHBand="0" w:firstRowFirstColumn="0" w:firstRowLastColumn="0" w:lastRowFirstColumn="0" w:lastRowLastColumn="0"/>
            <w:tcW w:w="1387" w:type="dxa"/>
          </w:tcPr>
          <w:p w:rsidR="00111DC4" w:rsidRPr="00DD6EC5" w:rsidRDefault="00111DC4" w:rsidP="00921457">
            <w:pPr>
              <w:autoSpaceDE w:val="0"/>
              <w:autoSpaceDN w:val="0"/>
              <w:adjustRightInd w:val="0"/>
              <w:jc w:val="both"/>
              <w:rPr>
                <w:rFonts w:cs="Times New Roman"/>
                <w:sz w:val="20"/>
                <w:szCs w:val="20"/>
              </w:rPr>
            </w:pPr>
            <w:proofErr w:type="spellStart"/>
            <w:r w:rsidRPr="00DD6EC5">
              <w:rPr>
                <w:rFonts w:cs="Times New Roman"/>
                <w:sz w:val="20"/>
                <w:szCs w:val="20"/>
              </w:rPr>
              <w:lastRenderedPageBreak/>
              <w:t>MCSi</w:t>
            </w:r>
            <w:proofErr w:type="spellEnd"/>
          </w:p>
        </w:tc>
        <w:tc>
          <w:tcPr>
            <w:tcW w:w="846" w:type="dxa"/>
          </w:tcPr>
          <w:p w:rsidR="00111DC4" w:rsidRPr="00DD6EC5" w:rsidRDefault="00111DC4" w:rsidP="009214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D6EC5">
              <w:rPr>
                <w:rFonts w:cs="Times New Roman"/>
                <w:sz w:val="20"/>
                <w:szCs w:val="20"/>
              </w:rPr>
              <w:t>=</w:t>
            </w:r>
          </w:p>
        </w:tc>
        <w:tc>
          <w:tcPr>
            <w:tcW w:w="7325" w:type="dxa"/>
          </w:tcPr>
          <w:p w:rsidR="00111DC4" w:rsidRPr="00DD6EC5" w:rsidRDefault="00111DC4" w:rsidP="009214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D6EC5">
              <w:rPr>
                <w:rFonts w:cs="Times New Roman"/>
                <w:sz w:val="20"/>
                <w:szCs w:val="20"/>
              </w:rPr>
              <w:t>Membership of cooperative society</w:t>
            </w:r>
          </w:p>
        </w:tc>
      </w:tr>
    </w:tbl>
    <w:p w:rsidR="00111DC4" w:rsidRPr="00DD6EC5" w:rsidRDefault="00111DC4" w:rsidP="00111DC4">
      <w:pPr>
        <w:jc w:val="both"/>
      </w:pPr>
    </w:p>
    <w:p w:rsidR="00111DC4" w:rsidRPr="00DD6EC5" w:rsidRDefault="00111DC4" w:rsidP="00111DC4">
      <w:pPr>
        <w:jc w:val="both"/>
      </w:pPr>
    </w:p>
    <w:p w:rsidR="00111DC4" w:rsidRPr="003C1E51" w:rsidRDefault="00111DC4" w:rsidP="00111DC4">
      <w:pPr>
        <w:jc w:val="both"/>
        <w:rPr>
          <w:rFonts w:asciiTheme="majorBidi" w:hAnsiTheme="majorBidi" w:cstheme="majorBidi"/>
          <w:sz w:val="24"/>
          <w:szCs w:val="24"/>
          <w:lang w:val="en-GB"/>
        </w:rPr>
      </w:pPr>
      <w:r w:rsidRPr="00DD6EC5">
        <w:rPr>
          <w:i/>
        </w:rPr>
        <w:t>β</w:t>
      </w:r>
      <w:r w:rsidRPr="00DD6EC5">
        <w:rPr>
          <w:i/>
          <w:vertAlign w:val="subscript"/>
        </w:rPr>
        <w:t>1</w:t>
      </w:r>
      <w:r w:rsidRPr="00DD6EC5">
        <w:rPr>
          <w:i/>
        </w:rPr>
        <w:t>, β</w:t>
      </w:r>
      <w:r w:rsidRPr="00DD6EC5">
        <w:rPr>
          <w:i/>
          <w:vertAlign w:val="subscript"/>
        </w:rPr>
        <w:t>2</w:t>
      </w:r>
      <w:r w:rsidRPr="00DD6EC5">
        <w:rPr>
          <w:vertAlign w:val="subscript"/>
        </w:rPr>
        <w:t xml:space="preserve"> … </w:t>
      </w:r>
      <w:r w:rsidRPr="00DD6EC5">
        <w:rPr>
          <w:i/>
        </w:rPr>
        <w:t>β</w:t>
      </w:r>
      <w:r w:rsidRPr="00DD6EC5">
        <w:rPr>
          <w:i/>
          <w:vertAlign w:val="subscript"/>
        </w:rPr>
        <w:t xml:space="preserve">12 </w:t>
      </w:r>
      <w:r w:rsidRPr="00DD6EC5">
        <w:t xml:space="preserve">are the coefficients of the regressor variables to be estimated. The constant term or intercept of the regression model is denoted by </w:t>
      </w:r>
      <w:r w:rsidRPr="00DD6EC5">
        <w:rPr>
          <w:i/>
        </w:rPr>
        <w:t>β</w:t>
      </w:r>
      <w:r w:rsidRPr="00DD6EC5">
        <w:rPr>
          <w:vertAlign w:val="subscript"/>
        </w:rPr>
        <w:t xml:space="preserve">o </w:t>
      </w:r>
      <w:r w:rsidRPr="00DD6EC5">
        <w:t>while U</w:t>
      </w:r>
      <w:r w:rsidRPr="00DD6EC5">
        <w:rPr>
          <w:vertAlign w:val="subscript"/>
        </w:rPr>
        <w:t xml:space="preserve">i </w:t>
      </w:r>
      <w:r w:rsidRPr="00DD6EC5">
        <w:t>symbolizes the error term.</w:t>
      </w:r>
    </w:p>
    <w:p w:rsidR="00396A41" w:rsidRDefault="00396A41" w:rsidP="00B17912">
      <w:pPr>
        <w:rPr>
          <w:rFonts w:eastAsia="Times"/>
          <w:bCs/>
        </w:rPr>
      </w:pPr>
    </w:p>
    <w:p w:rsidR="00396A41" w:rsidRDefault="00396A41" w:rsidP="00B17912">
      <w:pPr>
        <w:rPr>
          <w:rFonts w:eastAsia="Times"/>
          <w:bCs/>
        </w:rPr>
      </w:pPr>
    </w:p>
    <w:p w:rsidR="00396A41" w:rsidRPr="00FA0E55" w:rsidRDefault="00396A41" w:rsidP="00396A41">
      <w:pPr>
        <w:pStyle w:val="ListParagraph"/>
        <w:numPr>
          <w:ilvl w:val="0"/>
          <w:numId w:val="3"/>
        </w:numPr>
        <w:rPr>
          <w:rFonts w:ascii="Times New Roman" w:hAnsi="Times New Roman" w:cs="Times New Roman"/>
          <w:b/>
          <w:bCs/>
          <w:sz w:val="24"/>
          <w:szCs w:val="20"/>
          <w:lang w:val="en-GB"/>
        </w:rPr>
      </w:pPr>
      <w:r w:rsidRPr="00FA0E55">
        <w:rPr>
          <w:rFonts w:ascii="Times New Roman" w:hAnsi="Times New Roman" w:cs="Times New Roman"/>
          <w:b/>
          <w:bCs/>
          <w:sz w:val="24"/>
          <w:szCs w:val="20"/>
          <w:lang w:val="en-GB"/>
        </w:rPr>
        <w:t>Results and Analysis</w:t>
      </w:r>
    </w:p>
    <w:p w:rsidR="00396A41" w:rsidRPr="00396A41" w:rsidRDefault="00396A41" w:rsidP="00396A41">
      <w:pPr>
        <w:ind w:left="90"/>
        <w:jc w:val="both"/>
      </w:pPr>
      <w:r w:rsidRPr="00396A41">
        <w:t>This section conducts analysis of the estimated results. The analyses conducted in different subsections are as follows:</w:t>
      </w:r>
    </w:p>
    <w:p w:rsidR="00396A41" w:rsidRPr="00396A41" w:rsidRDefault="00396A41" w:rsidP="00396A41">
      <w:pPr>
        <w:ind w:left="720"/>
        <w:jc w:val="both"/>
      </w:pPr>
      <w:r w:rsidRPr="00396A41">
        <w:t xml:space="preserve"> </w:t>
      </w:r>
    </w:p>
    <w:p w:rsidR="00396A41" w:rsidRPr="00FA0E55" w:rsidRDefault="00396A41" w:rsidP="00396A41">
      <w:pPr>
        <w:pStyle w:val="ListParagraph"/>
        <w:numPr>
          <w:ilvl w:val="1"/>
          <w:numId w:val="5"/>
        </w:numPr>
        <w:jc w:val="both"/>
        <w:rPr>
          <w:rFonts w:ascii="Times New Roman" w:hAnsi="Times New Roman" w:cs="Times New Roman"/>
          <w:b/>
          <w:bCs/>
          <w:sz w:val="24"/>
          <w:szCs w:val="20"/>
        </w:rPr>
      </w:pPr>
      <w:r w:rsidRPr="00FA0E55">
        <w:rPr>
          <w:rFonts w:ascii="Times New Roman" w:hAnsi="Times New Roman" w:cs="Times New Roman"/>
          <w:sz w:val="24"/>
          <w:szCs w:val="20"/>
        </w:rPr>
        <w:t xml:space="preserve"> </w:t>
      </w:r>
      <w:r w:rsidRPr="00FA0E55">
        <w:rPr>
          <w:rFonts w:ascii="Times New Roman" w:hAnsi="Times New Roman" w:cs="Times New Roman"/>
          <w:b/>
          <w:bCs/>
          <w:sz w:val="24"/>
          <w:szCs w:val="20"/>
        </w:rPr>
        <w:t>Frequency distribution analysis</w:t>
      </w:r>
    </w:p>
    <w:p w:rsidR="00396A41" w:rsidRDefault="00396A41" w:rsidP="00396A41">
      <w:r w:rsidRPr="00396A41">
        <w:t>In this section, the socio-demographic characteristic of the respondents were analysed using a frequency distribution table. Also, the section analyses non interest financial services and inclusion as well as the household livelihood strategies using frequency distribution tables. Table 1 indicates the frequency distribution of the various respondents based on their socio-economic characteristics.</w:t>
      </w:r>
    </w:p>
    <w:p w:rsidR="00396A41" w:rsidRDefault="00396A41" w:rsidP="00396A41"/>
    <w:p w:rsidR="00396A41" w:rsidRDefault="00396A41" w:rsidP="00396A41"/>
    <w:p w:rsidR="00396A41" w:rsidRPr="00E630D1" w:rsidRDefault="00396A41" w:rsidP="00396A41">
      <w:pPr>
        <w:rPr>
          <w:rFonts w:eastAsia="Times"/>
          <w:bCs/>
        </w:rPr>
      </w:pPr>
      <w:r w:rsidRPr="00FA0E55">
        <w:rPr>
          <w:rFonts w:asciiTheme="majorBidi" w:hAnsiTheme="majorBidi" w:cstheme="majorBidi"/>
          <w:sz w:val="18"/>
        </w:rPr>
        <w:t>Table 1: Socio-Economic Characteristics of Respondents</w:t>
      </w:r>
    </w:p>
    <w:tbl>
      <w:tblPr>
        <w:tblStyle w:val="TableGrid"/>
        <w:tblW w:w="8218" w:type="dxa"/>
        <w:jc w:val="center"/>
        <w:tblBorders>
          <w:top w:val="single" w:sz="4" w:space="0" w:color="auto"/>
        </w:tblBorders>
        <w:tblLook w:val="04A0" w:firstRow="1" w:lastRow="0" w:firstColumn="1" w:lastColumn="0" w:noHBand="0" w:noVBand="1"/>
      </w:tblPr>
      <w:tblGrid>
        <w:gridCol w:w="3149"/>
        <w:gridCol w:w="1262"/>
        <w:gridCol w:w="1336"/>
        <w:gridCol w:w="2471"/>
      </w:tblGrid>
      <w:tr w:rsidR="00396A41" w:rsidRPr="00E630D1" w:rsidTr="00921457">
        <w:trPr>
          <w:cnfStyle w:val="100000000000" w:firstRow="1" w:lastRow="0" w:firstColumn="0" w:lastColumn="0" w:oddVBand="0" w:evenVBand="0" w:oddHBand="0"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3149" w:type="dxa"/>
            <w:tcBorders>
              <w:top w:val="single" w:sz="12" w:space="0" w:color="auto"/>
              <w:bottom w:val="single" w:sz="12" w:space="0" w:color="auto"/>
            </w:tcBorders>
            <w:hideMark/>
          </w:tcPr>
          <w:p w:rsidR="00396A41" w:rsidRPr="00E630D1" w:rsidRDefault="00396A41" w:rsidP="00921457">
            <w:pPr>
              <w:jc w:val="both"/>
              <w:rPr>
                <w:b w:val="0"/>
                <w:bCs/>
                <w:sz w:val="20"/>
                <w:szCs w:val="20"/>
              </w:rPr>
            </w:pPr>
            <w:r w:rsidRPr="00E630D1">
              <w:rPr>
                <w:b w:val="0"/>
                <w:bCs/>
                <w:sz w:val="20"/>
                <w:szCs w:val="20"/>
              </w:rPr>
              <w:t>Characteristics</w:t>
            </w:r>
          </w:p>
        </w:tc>
        <w:tc>
          <w:tcPr>
            <w:tcW w:w="1262" w:type="dxa"/>
            <w:tcBorders>
              <w:top w:val="single" w:sz="12" w:space="0" w:color="auto"/>
              <w:bottom w:val="single" w:sz="12" w:space="0" w:color="auto"/>
            </w:tcBorders>
            <w:hideMark/>
          </w:tcPr>
          <w:p w:rsidR="00396A41" w:rsidRPr="00E630D1" w:rsidRDefault="00396A41" w:rsidP="00921457">
            <w:pPr>
              <w:cnfStyle w:val="100000000000" w:firstRow="1" w:lastRow="0" w:firstColumn="0" w:lastColumn="0" w:oddVBand="0" w:evenVBand="0" w:oddHBand="0" w:evenHBand="0" w:firstRowFirstColumn="0" w:firstRowLastColumn="0" w:lastRowFirstColumn="0" w:lastRowLastColumn="0"/>
              <w:rPr>
                <w:b w:val="0"/>
                <w:bCs/>
                <w:sz w:val="20"/>
                <w:szCs w:val="20"/>
              </w:rPr>
            </w:pPr>
            <w:r w:rsidRPr="00E630D1">
              <w:rPr>
                <w:b w:val="0"/>
                <w:bCs/>
                <w:sz w:val="20"/>
                <w:szCs w:val="20"/>
              </w:rPr>
              <w:t>Frequency</w:t>
            </w:r>
          </w:p>
        </w:tc>
        <w:tc>
          <w:tcPr>
            <w:tcW w:w="1336" w:type="dxa"/>
            <w:tcBorders>
              <w:top w:val="single" w:sz="12" w:space="0" w:color="auto"/>
              <w:bottom w:val="single" w:sz="12" w:space="0" w:color="auto"/>
            </w:tcBorders>
            <w:hideMark/>
          </w:tcPr>
          <w:p w:rsidR="00396A41" w:rsidRPr="00E630D1" w:rsidRDefault="00396A41" w:rsidP="00921457">
            <w:pPr>
              <w:cnfStyle w:val="100000000000" w:firstRow="1" w:lastRow="0" w:firstColumn="0" w:lastColumn="0" w:oddVBand="0" w:evenVBand="0" w:oddHBand="0" w:evenHBand="0" w:firstRowFirstColumn="0" w:firstRowLastColumn="0" w:lastRowFirstColumn="0" w:lastRowLastColumn="0"/>
              <w:rPr>
                <w:b w:val="0"/>
                <w:bCs/>
                <w:sz w:val="20"/>
                <w:szCs w:val="20"/>
              </w:rPr>
            </w:pPr>
            <w:r w:rsidRPr="00E630D1">
              <w:rPr>
                <w:b w:val="0"/>
                <w:bCs/>
                <w:sz w:val="20"/>
                <w:szCs w:val="20"/>
              </w:rPr>
              <w:t>Percentage</w:t>
            </w:r>
          </w:p>
        </w:tc>
        <w:tc>
          <w:tcPr>
            <w:tcW w:w="2471" w:type="dxa"/>
            <w:tcBorders>
              <w:top w:val="single" w:sz="12" w:space="0" w:color="auto"/>
              <w:bottom w:val="single" w:sz="12" w:space="0" w:color="auto"/>
            </w:tcBorders>
            <w:hideMark/>
          </w:tcPr>
          <w:p w:rsidR="00396A41" w:rsidRPr="00E630D1" w:rsidRDefault="00396A41" w:rsidP="00921457">
            <w:pPr>
              <w:cnfStyle w:val="100000000000" w:firstRow="1" w:lastRow="0" w:firstColumn="0" w:lastColumn="0" w:oddVBand="0" w:evenVBand="0" w:oddHBand="0" w:evenHBand="0" w:firstRowFirstColumn="0" w:firstRowLastColumn="0" w:lastRowFirstColumn="0" w:lastRowLastColumn="0"/>
              <w:rPr>
                <w:b w:val="0"/>
                <w:bCs/>
                <w:sz w:val="20"/>
                <w:szCs w:val="20"/>
              </w:rPr>
            </w:pPr>
            <w:r w:rsidRPr="00E630D1">
              <w:rPr>
                <w:b w:val="0"/>
                <w:bCs/>
                <w:sz w:val="20"/>
                <w:szCs w:val="20"/>
              </w:rPr>
              <w:t>Cumulative Percentage</w:t>
            </w:r>
          </w:p>
        </w:tc>
      </w:tr>
      <w:tr w:rsidR="00396A41" w:rsidRPr="00E630D1" w:rsidTr="00921457">
        <w:trPr>
          <w:jc w:val="center"/>
        </w:trPr>
        <w:tc>
          <w:tcPr>
            <w:cnfStyle w:val="001000000000" w:firstRow="0" w:lastRow="0" w:firstColumn="1" w:lastColumn="0" w:oddVBand="0" w:evenVBand="0" w:oddHBand="0" w:evenHBand="0" w:firstRowFirstColumn="0" w:firstRowLastColumn="0" w:lastRowFirstColumn="0" w:lastRowLastColumn="0"/>
            <w:tcW w:w="3149" w:type="dxa"/>
            <w:tcBorders>
              <w:top w:val="nil"/>
              <w:left w:val="nil"/>
              <w:bottom w:val="nil"/>
              <w:right w:val="nil"/>
            </w:tcBorders>
            <w:hideMark/>
          </w:tcPr>
          <w:p w:rsidR="00396A41" w:rsidRPr="00E630D1" w:rsidRDefault="00396A41" w:rsidP="00921457">
            <w:pPr>
              <w:jc w:val="both"/>
              <w:rPr>
                <w:rFonts w:cs="Times New Roman"/>
                <w:b/>
                <w:bCs/>
                <w:sz w:val="20"/>
                <w:szCs w:val="20"/>
              </w:rPr>
            </w:pPr>
            <w:r w:rsidRPr="00E630D1">
              <w:rPr>
                <w:rFonts w:cs="Times New Roman"/>
                <w:b/>
                <w:bCs/>
                <w:sz w:val="20"/>
                <w:szCs w:val="20"/>
              </w:rPr>
              <w:t>Gender</w:t>
            </w:r>
          </w:p>
          <w:p w:rsidR="00396A41" w:rsidRPr="00E630D1" w:rsidRDefault="00396A41" w:rsidP="00921457">
            <w:pPr>
              <w:jc w:val="both"/>
              <w:rPr>
                <w:rFonts w:cs="Times New Roman"/>
                <w:sz w:val="20"/>
                <w:szCs w:val="20"/>
              </w:rPr>
            </w:pPr>
            <w:r w:rsidRPr="00E630D1">
              <w:rPr>
                <w:rFonts w:cs="Times New Roman"/>
                <w:sz w:val="20"/>
                <w:szCs w:val="20"/>
              </w:rPr>
              <w:t>Male</w:t>
            </w:r>
          </w:p>
          <w:p w:rsidR="00396A41" w:rsidRPr="00E630D1" w:rsidRDefault="00396A41" w:rsidP="00921457">
            <w:pPr>
              <w:jc w:val="both"/>
              <w:rPr>
                <w:rFonts w:cs="Times New Roman"/>
                <w:sz w:val="20"/>
                <w:szCs w:val="20"/>
              </w:rPr>
            </w:pPr>
            <w:r w:rsidRPr="00E630D1">
              <w:rPr>
                <w:rFonts w:cs="Times New Roman"/>
                <w:sz w:val="20"/>
                <w:szCs w:val="20"/>
              </w:rPr>
              <w:t>Female</w:t>
            </w:r>
          </w:p>
        </w:tc>
        <w:tc>
          <w:tcPr>
            <w:tcW w:w="1262" w:type="dxa"/>
            <w:tcBorders>
              <w:top w:val="nil"/>
              <w:left w:val="nil"/>
              <w:bottom w:val="nil"/>
              <w:right w:val="nil"/>
            </w:tcBorders>
          </w:tcPr>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575</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147</w:t>
            </w:r>
          </w:p>
        </w:tc>
        <w:tc>
          <w:tcPr>
            <w:tcW w:w="1336" w:type="dxa"/>
            <w:tcBorders>
              <w:top w:val="nil"/>
              <w:left w:val="nil"/>
              <w:bottom w:val="nil"/>
              <w:right w:val="nil"/>
            </w:tcBorders>
          </w:tcPr>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79.64</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20.36</w:t>
            </w:r>
          </w:p>
        </w:tc>
        <w:tc>
          <w:tcPr>
            <w:tcW w:w="2471" w:type="dxa"/>
            <w:tcBorders>
              <w:top w:val="nil"/>
              <w:left w:val="nil"/>
              <w:bottom w:val="nil"/>
              <w:right w:val="nil"/>
            </w:tcBorders>
          </w:tcPr>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79.64</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100</w:t>
            </w:r>
          </w:p>
        </w:tc>
      </w:tr>
      <w:tr w:rsidR="00396A41" w:rsidRPr="00E630D1" w:rsidTr="00921457">
        <w:trPr>
          <w:jc w:val="center"/>
        </w:trPr>
        <w:tc>
          <w:tcPr>
            <w:cnfStyle w:val="001000000000" w:firstRow="0" w:lastRow="0" w:firstColumn="1" w:lastColumn="0" w:oddVBand="0" w:evenVBand="0" w:oddHBand="0" w:evenHBand="0" w:firstRowFirstColumn="0" w:firstRowLastColumn="0" w:lastRowFirstColumn="0" w:lastRowLastColumn="0"/>
            <w:tcW w:w="3149" w:type="dxa"/>
            <w:tcBorders>
              <w:top w:val="nil"/>
              <w:left w:val="nil"/>
              <w:bottom w:val="nil"/>
              <w:right w:val="nil"/>
            </w:tcBorders>
            <w:hideMark/>
          </w:tcPr>
          <w:p w:rsidR="00396A41" w:rsidRPr="00E630D1" w:rsidRDefault="00396A41" w:rsidP="00921457">
            <w:pPr>
              <w:rPr>
                <w:rFonts w:cs="Times New Roman"/>
                <w:b/>
                <w:bCs/>
                <w:sz w:val="20"/>
                <w:szCs w:val="20"/>
              </w:rPr>
            </w:pPr>
            <w:r w:rsidRPr="00E630D1">
              <w:rPr>
                <w:rFonts w:cs="Times New Roman"/>
                <w:b/>
                <w:bCs/>
                <w:sz w:val="20"/>
                <w:szCs w:val="20"/>
              </w:rPr>
              <w:t>Age</w:t>
            </w:r>
          </w:p>
          <w:p w:rsidR="00396A41" w:rsidRPr="00E630D1" w:rsidRDefault="00396A41" w:rsidP="00921457">
            <w:pPr>
              <w:rPr>
                <w:rFonts w:cs="Times New Roman"/>
                <w:sz w:val="20"/>
                <w:szCs w:val="20"/>
              </w:rPr>
            </w:pPr>
            <w:r w:rsidRPr="00E630D1">
              <w:rPr>
                <w:rFonts w:cs="Times New Roman"/>
                <w:sz w:val="20"/>
                <w:szCs w:val="20"/>
              </w:rPr>
              <w:t>18 – 29</w:t>
            </w:r>
          </w:p>
          <w:p w:rsidR="00396A41" w:rsidRPr="00E630D1" w:rsidRDefault="00396A41" w:rsidP="00921457">
            <w:pPr>
              <w:rPr>
                <w:rFonts w:cs="Times New Roman"/>
                <w:sz w:val="20"/>
                <w:szCs w:val="20"/>
              </w:rPr>
            </w:pPr>
            <w:r w:rsidRPr="00E630D1">
              <w:rPr>
                <w:rFonts w:cs="Times New Roman"/>
                <w:sz w:val="20"/>
                <w:szCs w:val="20"/>
              </w:rPr>
              <w:t>30 – 39</w:t>
            </w:r>
          </w:p>
          <w:p w:rsidR="00396A41" w:rsidRPr="00E630D1" w:rsidRDefault="00396A41" w:rsidP="00921457">
            <w:pPr>
              <w:rPr>
                <w:rFonts w:cs="Times New Roman"/>
                <w:sz w:val="20"/>
                <w:szCs w:val="20"/>
              </w:rPr>
            </w:pPr>
            <w:r w:rsidRPr="00E630D1">
              <w:rPr>
                <w:rFonts w:cs="Times New Roman"/>
                <w:sz w:val="20"/>
                <w:szCs w:val="20"/>
              </w:rPr>
              <w:t xml:space="preserve">40 – 49 </w:t>
            </w:r>
          </w:p>
          <w:p w:rsidR="00396A41" w:rsidRPr="00E630D1" w:rsidRDefault="00396A41" w:rsidP="00921457">
            <w:pPr>
              <w:rPr>
                <w:rFonts w:cs="Times New Roman"/>
                <w:sz w:val="20"/>
                <w:szCs w:val="20"/>
              </w:rPr>
            </w:pPr>
            <w:r w:rsidRPr="00E630D1">
              <w:rPr>
                <w:rFonts w:cs="Times New Roman"/>
                <w:sz w:val="20"/>
                <w:szCs w:val="20"/>
              </w:rPr>
              <w:t>50 - 59</w:t>
            </w:r>
          </w:p>
          <w:p w:rsidR="00396A41" w:rsidRPr="00E630D1" w:rsidRDefault="00396A41" w:rsidP="00921457">
            <w:pPr>
              <w:rPr>
                <w:rFonts w:cs="Times New Roman"/>
                <w:sz w:val="20"/>
                <w:szCs w:val="20"/>
              </w:rPr>
            </w:pPr>
            <w:r w:rsidRPr="00E630D1">
              <w:rPr>
                <w:rFonts w:cs="Times New Roman"/>
                <w:sz w:val="20"/>
                <w:szCs w:val="20"/>
              </w:rPr>
              <w:t>60 and above</w:t>
            </w:r>
          </w:p>
        </w:tc>
        <w:tc>
          <w:tcPr>
            <w:tcW w:w="1262" w:type="dxa"/>
            <w:tcBorders>
              <w:top w:val="nil"/>
              <w:left w:val="nil"/>
              <w:bottom w:val="nil"/>
              <w:right w:val="nil"/>
            </w:tcBorders>
          </w:tcPr>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136</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276</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177</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100</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32</w:t>
            </w:r>
          </w:p>
        </w:tc>
        <w:tc>
          <w:tcPr>
            <w:tcW w:w="1336" w:type="dxa"/>
            <w:tcBorders>
              <w:top w:val="nil"/>
              <w:left w:val="nil"/>
              <w:bottom w:val="nil"/>
              <w:right w:val="nil"/>
            </w:tcBorders>
          </w:tcPr>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18.8</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38.28</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24.55</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13.87</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4.44</w:t>
            </w:r>
          </w:p>
        </w:tc>
        <w:tc>
          <w:tcPr>
            <w:tcW w:w="2471" w:type="dxa"/>
            <w:tcBorders>
              <w:top w:val="nil"/>
              <w:left w:val="nil"/>
              <w:bottom w:val="nil"/>
              <w:right w:val="nil"/>
            </w:tcBorders>
          </w:tcPr>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18.8</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57.14</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81.9</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95.56</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100</w:t>
            </w:r>
          </w:p>
        </w:tc>
      </w:tr>
      <w:tr w:rsidR="00396A41" w:rsidRPr="00E630D1" w:rsidTr="00921457">
        <w:trPr>
          <w:jc w:val="center"/>
        </w:trPr>
        <w:tc>
          <w:tcPr>
            <w:cnfStyle w:val="001000000000" w:firstRow="0" w:lastRow="0" w:firstColumn="1" w:lastColumn="0" w:oddVBand="0" w:evenVBand="0" w:oddHBand="0" w:evenHBand="0" w:firstRowFirstColumn="0" w:firstRowLastColumn="0" w:lastRowFirstColumn="0" w:lastRowLastColumn="0"/>
            <w:tcW w:w="3149" w:type="dxa"/>
            <w:tcBorders>
              <w:top w:val="nil"/>
              <w:left w:val="nil"/>
              <w:bottom w:val="nil"/>
              <w:right w:val="nil"/>
            </w:tcBorders>
            <w:hideMark/>
          </w:tcPr>
          <w:p w:rsidR="00396A41" w:rsidRPr="00E630D1" w:rsidRDefault="00396A41" w:rsidP="00921457">
            <w:pPr>
              <w:rPr>
                <w:rFonts w:cs="Times New Roman"/>
                <w:b/>
                <w:bCs/>
                <w:sz w:val="20"/>
                <w:szCs w:val="20"/>
              </w:rPr>
            </w:pPr>
            <w:r w:rsidRPr="00E630D1">
              <w:rPr>
                <w:rFonts w:cs="Times New Roman"/>
                <w:b/>
                <w:bCs/>
                <w:sz w:val="20"/>
                <w:szCs w:val="20"/>
              </w:rPr>
              <w:t>Marital Status</w:t>
            </w:r>
          </w:p>
          <w:p w:rsidR="00396A41" w:rsidRPr="00E630D1" w:rsidRDefault="00396A41" w:rsidP="00921457">
            <w:pPr>
              <w:rPr>
                <w:rFonts w:cs="Times New Roman"/>
                <w:sz w:val="20"/>
                <w:szCs w:val="20"/>
              </w:rPr>
            </w:pPr>
            <w:r w:rsidRPr="00E630D1">
              <w:rPr>
                <w:rFonts w:cs="Times New Roman"/>
                <w:sz w:val="20"/>
                <w:szCs w:val="20"/>
              </w:rPr>
              <w:t>Single</w:t>
            </w:r>
          </w:p>
          <w:p w:rsidR="00396A41" w:rsidRPr="00E630D1" w:rsidRDefault="00396A41" w:rsidP="00921457">
            <w:pPr>
              <w:rPr>
                <w:rFonts w:cs="Times New Roman"/>
                <w:sz w:val="20"/>
                <w:szCs w:val="20"/>
              </w:rPr>
            </w:pPr>
            <w:r w:rsidRPr="00E630D1">
              <w:rPr>
                <w:rFonts w:cs="Times New Roman"/>
                <w:sz w:val="20"/>
                <w:szCs w:val="20"/>
              </w:rPr>
              <w:t>Married</w:t>
            </w:r>
          </w:p>
        </w:tc>
        <w:tc>
          <w:tcPr>
            <w:tcW w:w="1262" w:type="dxa"/>
            <w:tcBorders>
              <w:top w:val="nil"/>
              <w:left w:val="nil"/>
              <w:bottom w:val="nil"/>
              <w:right w:val="nil"/>
            </w:tcBorders>
          </w:tcPr>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157</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565</w:t>
            </w:r>
          </w:p>
        </w:tc>
        <w:tc>
          <w:tcPr>
            <w:tcW w:w="1336" w:type="dxa"/>
            <w:tcBorders>
              <w:top w:val="nil"/>
              <w:left w:val="nil"/>
              <w:bottom w:val="nil"/>
              <w:right w:val="nil"/>
            </w:tcBorders>
          </w:tcPr>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21.75</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78.25</w:t>
            </w:r>
          </w:p>
        </w:tc>
        <w:tc>
          <w:tcPr>
            <w:tcW w:w="2471" w:type="dxa"/>
            <w:tcBorders>
              <w:top w:val="nil"/>
              <w:left w:val="nil"/>
              <w:bottom w:val="nil"/>
              <w:right w:val="nil"/>
            </w:tcBorders>
          </w:tcPr>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21.75</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100</w:t>
            </w:r>
          </w:p>
        </w:tc>
      </w:tr>
      <w:tr w:rsidR="00396A41" w:rsidRPr="00E630D1" w:rsidTr="00921457">
        <w:trPr>
          <w:jc w:val="center"/>
        </w:trPr>
        <w:tc>
          <w:tcPr>
            <w:cnfStyle w:val="001000000000" w:firstRow="0" w:lastRow="0" w:firstColumn="1" w:lastColumn="0" w:oddVBand="0" w:evenVBand="0" w:oddHBand="0" w:evenHBand="0" w:firstRowFirstColumn="0" w:firstRowLastColumn="0" w:lastRowFirstColumn="0" w:lastRowLastColumn="0"/>
            <w:tcW w:w="3149" w:type="dxa"/>
            <w:tcBorders>
              <w:top w:val="nil"/>
              <w:left w:val="nil"/>
              <w:bottom w:val="nil"/>
              <w:right w:val="nil"/>
            </w:tcBorders>
            <w:hideMark/>
          </w:tcPr>
          <w:p w:rsidR="00396A41" w:rsidRPr="00E630D1" w:rsidRDefault="00396A41" w:rsidP="00921457">
            <w:pPr>
              <w:rPr>
                <w:rFonts w:cs="Times New Roman"/>
                <w:b/>
                <w:bCs/>
                <w:sz w:val="20"/>
                <w:szCs w:val="20"/>
              </w:rPr>
            </w:pPr>
            <w:r w:rsidRPr="00E630D1">
              <w:rPr>
                <w:rFonts w:cs="Times New Roman"/>
                <w:b/>
                <w:bCs/>
                <w:sz w:val="20"/>
                <w:szCs w:val="20"/>
              </w:rPr>
              <w:t>Religion</w:t>
            </w:r>
          </w:p>
          <w:p w:rsidR="00396A41" w:rsidRPr="00E630D1" w:rsidRDefault="00396A41" w:rsidP="00921457">
            <w:pPr>
              <w:rPr>
                <w:rFonts w:cs="Times New Roman"/>
                <w:sz w:val="20"/>
                <w:szCs w:val="20"/>
              </w:rPr>
            </w:pPr>
            <w:r w:rsidRPr="00E630D1">
              <w:rPr>
                <w:rFonts w:cs="Times New Roman"/>
                <w:sz w:val="20"/>
                <w:szCs w:val="20"/>
              </w:rPr>
              <w:t>Islam</w:t>
            </w:r>
          </w:p>
          <w:p w:rsidR="00396A41" w:rsidRPr="00E630D1" w:rsidRDefault="00396A41" w:rsidP="00921457">
            <w:pPr>
              <w:rPr>
                <w:rFonts w:cs="Times New Roman"/>
                <w:sz w:val="20"/>
                <w:szCs w:val="20"/>
              </w:rPr>
            </w:pPr>
            <w:r w:rsidRPr="00E630D1">
              <w:rPr>
                <w:rFonts w:cs="Times New Roman"/>
                <w:sz w:val="20"/>
                <w:szCs w:val="20"/>
              </w:rPr>
              <w:t xml:space="preserve">Christianity                                                   </w:t>
            </w:r>
          </w:p>
          <w:p w:rsidR="00396A41" w:rsidRPr="00E630D1" w:rsidRDefault="00396A41" w:rsidP="00921457">
            <w:pPr>
              <w:rPr>
                <w:rFonts w:cs="Times New Roman"/>
                <w:sz w:val="20"/>
                <w:szCs w:val="20"/>
              </w:rPr>
            </w:pPr>
            <w:r w:rsidRPr="00E630D1">
              <w:rPr>
                <w:rFonts w:cs="Times New Roman"/>
                <w:sz w:val="20"/>
                <w:szCs w:val="20"/>
              </w:rPr>
              <w:t>Others</w:t>
            </w:r>
          </w:p>
        </w:tc>
        <w:tc>
          <w:tcPr>
            <w:tcW w:w="1262" w:type="dxa"/>
            <w:tcBorders>
              <w:top w:val="nil"/>
              <w:left w:val="nil"/>
              <w:bottom w:val="nil"/>
              <w:right w:val="nil"/>
            </w:tcBorders>
            <w:hideMark/>
          </w:tcPr>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684</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36</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1</w:t>
            </w:r>
          </w:p>
        </w:tc>
        <w:tc>
          <w:tcPr>
            <w:tcW w:w="1336" w:type="dxa"/>
            <w:tcBorders>
              <w:top w:val="nil"/>
              <w:left w:val="nil"/>
              <w:bottom w:val="nil"/>
              <w:right w:val="nil"/>
            </w:tcBorders>
            <w:hideMark/>
          </w:tcPr>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94.87</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4.99</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0.14</w:t>
            </w:r>
          </w:p>
        </w:tc>
        <w:tc>
          <w:tcPr>
            <w:tcW w:w="2471" w:type="dxa"/>
            <w:tcBorders>
              <w:top w:val="nil"/>
              <w:left w:val="nil"/>
              <w:bottom w:val="nil"/>
              <w:right w:val="nil"/>
            </w:tcBorders>
            <w:hideMark/>
          </w:tcPr>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94.87</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99.86</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100</w:t>
            </w:r>
          </w:p>
        </w:tc>
      </w:tr>
      <w:tr w:rsidR="00396A41" w:rsidRPr="00E630D1" w:rsidTr="00921457">
        <w:trPr>
          <w:jc w:val="center"/>
        </w:trPr>
        <w:tc>
          <w:tcPr>
            <w:cnfStyle w:val="001000000000" w:firstRow="0" w:lastRow="0" w:firstColumn="1" w:lastColumn="0" w:oddVBand="0" w:evenVBand="0" w:oddHBand="0" w:evenHBand="0" w:firstRowFirstColumn="0" w:firstRowLastColumn="0" w:lastRowFirstColumn="0" w:lastRowLastColumn="0"/>
            <w:tcW w:w="3149" w:type="dxa"/>
            <w:tcBorders>
              <w:top w:val="nil"/>
              <w:left w:val="nil"/>
              <w:bottom w:val="nil"/>
              <w:right w:val="nil"/>
            </w:tcBorders>
            <w:hideMark/>
          </w:tcPr>
          <w:p w:rsidR="00396A41" w:rsidRPr="00E630D1" w:rsidRDefault="00396A41" w:rsidP="00921457">
            <w:pPr>
              <w:rPr>
                <w:rFonts w:cs="Times New Roman"/>
                <w:b/>
                <w:bCs/>
                <w:sz w:val="20"/>
                <w:szCs w:val="20"/>
              </w:rPr>
            </w:pPr>
            <w:r w:rsidRPr="00E630D1">
              <w:rPr>
                <w:rFonts w:cs="Times New Roman"/>
                <w:b/>
                <w:bCs/>
                <w:sz w:val="20"/>
                <w:szCs w:val="20"/>
              </w:rPr>
              <w:t>Level of Education</w:t>
            </w:r>
          </w:p>
          <w:p w:rsidR="00396A41" w:rsidRPr="00E630D1" w:rsidRDefault="00396A41" w:rsidP="00921457">
            <w:pPr>
              <w:rPr>
                <w:rFonts w:cs="Times New Roman"/>
                <w:sz w:val="20"/>
                <w:szCs w:val="20"/>
              </w:rPr>
            </w:pPr>
            <w:r w:rsidRPr="00E630D1">
              <w:rPr>
                <w:rFonts w:cs="Times New Roman"/>
                <w:sz w:val="20"/>
                <w:szCs w:val="20"/>
              </w:rPr>
              <w:t>Non formal Education</w:t>
            </w:r>
          </w:p>
          <w:p w:rsidR="00396A41" w:rsidRPr="00E630D1" w:rsidRDefault="00396A41" w:rsidP="00921457">
            <w:pPr>
              <w:rPr>
                <w:rFonts w:cs="Times New Roman"/>
                <w:sz w:val="20"/>
                <w:szCs w:val="20"/>
              </w:rPr>
            </w:pPr>
            <w:r w:rsidRPr="00E630D1">
              <w:rPr>
                <w:rFonts w:cs="Times New Roman"/>
                <w:sz w:val="20"/>
                <w:szCs w:val="20"/>
              </w:rPr>
              <w:t>Primary School</w:t>
            </w:r>
          </w:p>
          <w:p w:rsidR="00396A41" w:rsidRPr="00E630D1" w:rsidRDefault="00396A41" w:rsidP="00921457">
            <w:pPr>
              <w:rPr>
                <w:rFonts w:cs="Times New Roman"/>
                <w:sz w:val="20"/>
                <w:szCs w:val="20"/>
              </w:rPr>
            </w:pPr>
            <w:r w:rsidRPr="00E630D1">
              <w:rPr>
                <w:rFonts w:cs="Times New Roman"/>
                <w:sz w:val="20"/>
                <w:szCs w:val="20"/>
              </w:rPr>
              <w:t xml:space="preserve">Secondary </w:t>
            </w:r>
          </w:p>
          <w:p w:rsidR="00396A41" w:rsidRPr="00E630D1" w:rsidRDefault="00396A41" w:rsidP="00921457">
            <w:pPr>
              <w:rPr>
                <w:rFonts w:cs="Times New Roman"/>
                <w:sz w:val="20"/>
                <w:szCs w:val="20"/>
              </w:rPr>
            </w:pPr>
            <w:r w:rsidRPr="00E630D1">
              <w:rPr>
                <w:rFonts w:cs="Times New Roman"/>
                <w:sz w:val="20"/>
                <w:szCs w:val="20"/>
              </w:rPr>
              <w:t>Diploma/NCE</w:t>
            </w:r>
          </w:p>
          <w:p w:rsidR="00396A41" w:rsidRPr="00E630D1" w:rsidRDefault="00396A41" w:rsidP="00921457">
            <w:pPr>
              <w:rPr>
                <w:rFonts w:cs="Times New Roman"/>
                <w:sz w:val="20"/>
                <w:szCs w:val="20"/>
              </w:rPr>
            </w:pPr>
            <w:r w:rsidRPr="00E630D1">
              <w:rPr>
                <w:rFonts w:cs="Times New Roman"/>
                <w:sz w:val="20"/>
                <w:szCs w:val="20"/>
              </w:rPr>
              <w:t>B.Sc./HND</w:t>
            </w:r>
          </w:p>
          <w:p w:rsidR="00396A41" w:rsidRPr="00E630D1" w:rsidRDefault="00396A41" w:rsidP="00921457">
            <w:pPr>
              <w:rPr>
                <w:rFonts w:cs="Times New Roman"/>
                <w:sz w:val="20"/>
                <w:szCs w:val="20"/>
              </w:rPr>
            </w:pPr>
            <w:r w:rsidRPr="00E630D1">
              <w:rPr>
                <w:rFonts w:cs="Times New Roman"/>
                <w:sz w:val="20"/>
                <w:szCs w:val="20"/>
              </w:rPr>
              <w:t>Postgraduate</w:t>
            </w:r>
          </w:p>
        </w:tc>
        <w:tc>
          <w:tcPr>
            <w:tcW w:w="1262" w:type="dxa"/>
            <w:tcBorders>
              <w:top w:val="nil"/>
              <w:left w:val="nil"/>
              <w:bottom w:val="nil"/>
              <w:right w:val="nil"/>
            </w:tcBorders>
          </w:tcPr>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107</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73</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171</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163</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157</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50</w:t>
            </w:r>
          </w:p>
        </w:tc>
        <w:tc>
          <w:tcPr>
            <w:tcW w:w="1336" w:type="dxa"/>
            <w:tcBorders>
              <w:top w:val="nil"/>
              <w:left w:val="nil"/>
              <w:bottom w:val="nil"/>
              <w:right w:val="nil"/>
            </w:tcBorders>
          </w:tcPr>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14.84</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10.12</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23.72</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22.61</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21.78</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6.93</w:t>
            </w:r>
          </w:p>
        </w:tc>
        <w:tc>
          <w:tcPr>
            <w:tcW w:w="2471" w:type="dxa"/>
            <w:tcBorders>
              <w:top w:val="nil"/>
              <w:left w:val="nil"/>
              <w:bottom w:val="nil"/>
              <w:right w:val="nil"/>
            </w:tcBorders>
          </w:tcPr>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14.84</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24.97</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48.68</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71.29</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93.07</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100</w:t>
            </w:r>
          </w:p>
        </w:tc>
      </w:tr>
      <w:tr w:rsidR="00396A41" w:rsidRPr="00E630D1" w:rsidTr="00921457">
        <w:trPr>
          <w:jc w:val="center"/>
        </w:trPr>
        <w:tc>
          <w:tcPr>
            <w:cnfStyle w:val="001000000000" w:firstRow="0" w:lastRow="0" w:firstColumn="1" w:lastColumn="0" w:oddVBand="0" w:evenVBand="0" w:oddHBand="0" w:evenHBand="0" w:firstRowFirstColumn="0" w:firstRowLastColumn="0" w:lastRowFirstColumn="0" w:lastRowLastColumn="0"/>
            <w:tcW w:w="3149" w:type="dxa"/>
            <w:tcBorders>
              <w:top w:val="nil"/>
              <w:left w:val="nil"/>
              <w:bottom w:val="nil"/>
              <w:right w:val="nil"/>
            </w:tcBorders>
            <w:hideMark/>
          </w:tcPr>
          <w:p w:rsidR="00396A41" w:rsidRPr="00E630D1" w:rsidRDefault="00396A41" w:rsidP="00921457">
            <w:pPr>
              <w:rPr>
                <w:rFonts w:cs="Times New Roman"/>
                <w:b/>
                <w:bCs/>
                <w:sz w:val="20"/>
                <w:szCs w:val="20"/>
              </w:rPr>
            </w:pPr>
            <w:r w:rsidRPr="00E630D1">
              <w:rPr>
                <w:rFonts w:cs="Times New Roman"/>
                <w:b/>
                <w:bCs/>
                <w:sz w:val="20"/>
                <w:szCs w:val="20"/>
              </w:rPr>
              <w:t>Occupation</w:t>
            </w:r>
          </w:p>
          <w:p w:rsidR="00396A41" w:rsidRPr="00E630D1" w:rsidRDefault="00396A41" w:rsidP="00921457">
            <w:pPr>
              <w:jc w:val="both"/>
              <w:rPr>
                <w:rFonts w:cs="Times New Roman"/>
                <w:sz w:val="20"/>
                <w:szCs w:val="20"/>
              </w:rPr>
            </w:pPr>
            <w:r w:rsidRPr="00E630D1">
              <w:rPr>
                <w:rFonts w:cs="Times New Roman"/>
                <w:sz w:val="20"/>
                <w:szCs w:val="20"/>
              </w:rPr>
              <w:t>Civil servant</w:t>
            </w:r>
            <w:r w:rsidRPr="00E630D1">
              <w:rPr>
                <w:rFonts w:cs="Times New Roman"/>
                <w:sz w:val="20"/>
                <w:szCs w:val="20"/>
              </w:rPr>
              <w:tab/>
            </w:r>
          </w:p>
          <w:p w:rsidR="00396A41" w:rsidRPr="00E630D1" w:rsidRDefault="00396A41" w:rsidP="00921457">
            <w:pPr>
              <w:jc w:val="both"/>
              <w:rPr>
                <w:rFonts w:cs="Times New Roman"/>
                <w:sz w:val="20"/>
                <w:szCs w:val="20"/>
              </w:rPr>
            </w:pPr>
            <w:r w:rsidRPr="00E630D1">
              <w:rPr>
                <w:rFonts w:cs="Times New Roman"/>
                <w:sz w:val="20"/>
                <w:szCs w:val="20"/>
              </w:rPr>
              <w:t>agriculture</w:t>
            </w:r>
            <w:r w:rsidRPr="00E630D1">
              <w:rPr>
                <w:rFonts w:cs="Times New Roman"/>
                <w:sz w:val="20"/>
                <w:szCs w:val="20"/>
              </w:rPr>
              <w:tab/>
            </w:r>
          </w:p>
          <w:p w:rsidR="00396A41" w:rsidRPr="00E630D1" w:rsidRDefault="00396A41" w:rsidP="00921457">
            <w:pPr>
              <w:jc w:val="both"/>
              <w:rPr>
                <w:rFonts w:cs="Times New Roman"/>
                <w:sz w:val="20"/>
                <w:szCs w:val="20"/>
              </w:rPr>
            </w:pPr>
            <w:r w:rsidRPr="00E630D1">
              <w:rPr>
                <w:rFonts w:cs="Times New Roman"/>
                <w:sz w:val="20"/>
                <w:szCs w:val="20"/>
              </w:rPr>
              <w:t>knowledge-based</w:t>
            </w:r>
            <w:r w:rsidRPr="00E630D1">
              <w:rPr>
                <w:rFonts w:cs="Times New Roman"/>
                <w:sz w:val="20"/>
                <w:szCs w:val="20"/>
              </w:rPr>
              <w:tab/>
            </w:r>
          </w:p>
          <w:p w:rsidR="00396A41" w:rsidRPr="00E630D1" w:rsidRDefault="00396A41" w:rsidP="00921457">
            <w:pPr>
              <w:jc w:val="both"/>
              <w:rPr>
                <w:rFonts w:cs="Times New Roman"/>
                <w:sz w:val="20"/>
                <w:szCs w:val="20"/>
              </w:rPr>
            </w:pPr>
            <w:r w:rsidRPr="00E630D1">
              <w:rPr>
                <w:rFonts w:cs="Times New Roman"/>
                <w:sz w:val="20"/>
                <w:szCs w:val="20"/>
              </w:rPr>
              <w:t>manufacturing</w:t>
            </w:r>
            <w:r w:rsidRPr="00E630D1">
              <w:rPr>
                <w:rFonts w:cs="Times New Roman"/>
                <w:sz w:val="20"/>
                <w:szCs w:val="20"/>
              </w:rPr>
              <w:tab/>
            </w:r>
          </w:p>
          <w:p w:rsidR="00396A41" w:rsidRPr="00E630D1" w:rsidRDefault="00396A41" w:rsidP="00921457">
            <w:pPr>
              <w:jc w:val="both"/>
              <w:rPr>
                <w:rFonts w:cs="Times New Roman"/>
                <w:sz w:val="20"/>
                <w:szCs w:val="20"/>
              </w:rPr>
            </w:pPr>
            <w:r w:rsidRPr="00E630D1">
              <w:rPr>
                <w:rFonts w:cs="Times New Roman"/>
                <w:sz w:val="20"/>
                <w:szCs w:val="20"/>
              </w:rPr>
              <w:t>extractive</w:t>
            </w:r>
            <w:r w:rsidRPr="00E630D1">
              <w:rPr>
                <w:rFonts w:cs="Times New Roman"/>
                <w:sz w:val="20"/>
                <w:szCs w:val="20"/>
              </w:rPr>
              <w:tab/>
            </w:r>
          </w:p>
          <w:p w:rsidR="00396A41" w:rsidRPr="00E630D1" w:rsidRDefault="00396A41" w:rsidP="00921457">
            <w:pPr>
              <w:jc w:val="both"/>
              <w:rPr>
                <w:rFonts w:cs="Times New Roman"/>
                <w:sz w:val="20"/>
                <w:szCs w:val="20"/>
              </w:rPr>
            </w:pPr>
            <w:r w:rsidRPr="00E630D1">
              <w:rPr>
                <w:rFonts w:cs="Times New Roman"/>
                <w:sz w:val="20"/>
                <w:szCs w:val="20"/>
              </w:rPr>
              <w:t>wholesale/retail</w:t>
            </w:r>
          </w:p>
          <w:p w:rsidR="00396A41" w:rsidRPr="00E630D1" w:rsidRDefault="00396A41" w:rsidP="00921457">
            <w:pPr>
              <w:jc w:val="both"/>
              <w:rPr>
                <w:rFonts w:cs="Times New Roman"/>
                <w:sz w:val="20"/>
                <w:szCs w:val="20"/>
              </w:rPr>
            </w:pPr>
            <w:r w:rsidRPr="00E630D1">
              <w:rPr>
                <w:rFonts w:cs="Times New Roman"/>
                <w:sz w:val="20"/>
                <w:szCs w:val="20"/>
              </w:rPr>
              <w:t>Professionals</w:t>
            </w:r>
          </w:p>
          <w:p w:rsidR="00396A41" w:rsidRPr="00E630D1" w:rsidRDefault="00396A41" w:rsidP="00921457">
            <w:pPr>
              <w:jc w:val="both"/>
              <w:rPr>
                <w:rFonts w:cs="Times New Roman"/>
                <w:sz w:val="20"/>
                <w:szCs w:val="20"/>
              </w:rPr>
            </w:pPr>
            <w:r w:rsidRPr="00E630D1">
              <w:rPr>
                <w:rFonts w:cs="Times New Roman"/>
                <w:sz w:val="20"/>
                <w:szCs w:val="20"/>
              </w:rPr>
              <w:t>services</w:t>
            </w:r>
          </w:p>
          <w:p w:rsidR="00396A41" w:rsidRPr="00E630D1" w:rsidRDefault="00396A41" w:rsidP="00921457">
            <w:pPr>
              <w:jc w:val="both"/>
              <w:rPr>
                <w:rFonts w:cs="Times New Roman"/>
                <w:sz w:val="20"/>
                <w:szCs w:val="20"/>
              </w:rPr>
            </w:pPr>
            <w:r w:rsidRPr="00E630D1">
              <w:rPr>
                <w:rFonts w:cs="Times New Roman"/>
                <w:sz w:val="20"/>
                <w:szCs w:val="20"/>
              </w:rPr>
              <w:t xml:space="preserve">Others </w:t>
            </w:r>
          </w:p>
        </w:tc>
        <w:tc>
          <w:tcPr>
            <w:tcW w:w="1262" w:type="dxa"/>
            <w:tcBorders>
              <w:top w:val="nil"/>
              <w:left w:val="nil"/>
              <w:bottom w:val="nil"/>
              <w:right w:val="nil"/>
            </w:tcBorders>
          </w:tcPr>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158</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201</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23</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22</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26</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134</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46</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26</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74</w:t>
            </w:r>
          </w:p>
        </w:tc>
        <w:tc>
          <w:tcPr>
            <w:tcW w:w="1336" w:type="dxa"/>
            <w:tcBorders>
              <w:top w:val="nil"/>
              <w:left w:val="nil"/>
              <w:bottom w:val="nil"/>
              <w:right w:val="nil"/>
            </w:tcBorders>
          </w:tcPr>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22.25</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28.31</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3.24</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3.10</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3.66</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18.87</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6.48.</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3.66</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10.42</w:t>
            </w:r>
          </w:p>
        </w:tc>
        <w:tc>
          <w:tcPr>
            <w:tcW w:w="2471" w:type="dxa"/>
            <w:tcBorders>
              <w:top w:val="nil"/>
              <w:left w:val="nil"/>
              <w:bottom w:val="nil"/>
              <w:right w:val="nil"/>
            </w:tcBorders>
          </w:tcPr>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22.25</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50.56</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53.80</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56.90</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60.56</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79.44</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85.92</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89.58</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100</w:t>
            </w:r>
          </w:p>
        </w:tc>
      </w:tr>
      <w:tr w:rsidR="00396A41" w:rsidRPr="00E630D1" w:rsidTr="00921457">
        <w:trPr>
          <w:jc w:val="center"/>
        </w:trPr>
        <w:tc>
          <w:tcPr>
            <w:cnfStyle w:val="001000000000" w:firstRow="0" w:lastRow="0" w:firstColumn="1" w:lastColumn="0" w:oddVBand="0" w:evenVBand="0" w:oddHBand="0" w:evenHBand="0" w:firstRowFirstColumn="0" w:firstRowLastColumn="0" w:lastRowFirstColumn="0" w:lastRowLastColumn="0"/>
            <w:tcW w:w="3149" w:type="dxa"/>
            <w:tcBorders>
              <w:top w:val="nil"/>
              <w:left w:val="nil"/>
              <w:bottom w:val="nil"/>
              <w:right w:val="nil"/>
            </w:tcBorders>
            <w:hideMark/>
          </w:tcPr>
          <w:p w:rsidR="00396A41" w:rsidRPr="00E630D1" w:rsidRDefault="00396A41" w:rsidP="00921457">
            <w:pPr>
              <w:rPr>
                <w:rFonts w:cs="Times New Roman"/>
                <w:b/>
                <w:bCs/>
                <w:sz w:val="20"/>
                <w:szCs w:val="20"/>
              </w:rPr>
            </w:pPr>
            <w:r w:rsidRPr="00E630D1">
              <w:rPr>
                <w:rFonts w:cs="Times New Roman"/>
                <w:b/>
                <w:bCs/>
                <w:sz w:val="20"/>
                <w:szCs w:val="20"/>
              </w:rPr>
              <w:t xml:space="preserve">Monthly Income </w:t>
            </w:r>
          </w:p>
          <w:p w:rsidR="00396A41" w:rsidRPr="00E630D1" w:rsidRDefault="00396A41" w:rsidP="00921457">
            <w:pPr>
              <w:jc w:val="both"/>
              <w:rPr>
                <w:rFonts w:cs="Times New Roman"/>
                <w:sz w:val="20"/>
                <w:szCs w:val="20"/>
              </w:rPr>
            </w:pPr>
            <w:r w:rsidRPr="00E630D1">
              <w:rPr>
                <w:rFonts w:cs="Times New Roman"/>
                <w:sz w:val="20"/>
                <w:szCs w:val="20"/>
              </w:rPr>
              <w:t>Less than ₦30000</w:t>
            </w:r>
          </w:p>
          <w:p w:rsidR="00396A41" w:rsidRPr="00E630D1" w:rsidRDefault="00396A41" w:rsidP="00921457">
            <w:pPr>
              <w:jc w:val="both"/>
              <w:rPr>
                <w:rFonts w:cs="Times New Roman"/>
                <w:sz w:val="20"/>
                <w:szCs w:val="20"/>
              </w:rPr>
            </w:pPr>
            <w:r w:rsidRPr="00E630D1">
              <w:rPr>
                <w:rFonts w:cs="Times New Roman"/>
                <w:sz w:val="20"/>
                <w:szCs w:val="20"/>
              </w:rPr>
              <w:t>₦30000 -₦60,000</w:t>
            </w:r>
          </w:p>
          <w:p w:rsidR="00396A41" w:rsidRPr="00E630D1" w:rsidRDefault="00396A41" w:rsidP="00921457">
            <w:pPr>
              <w:jc w:val="both"/>
              <w:rPr>
                <w:rFonts w:cs="Times New Roman"/>
                <w:sz w:val="20"/>
                <w:szCs w:val="20"/>
              </w:rPr>
            </w:pPr>
            <w:r w:rsidRPr="00E630D1">
              <w:rPr>
                <w:rFonts w:cs="Times New Roman"/>
                <w:sz w:val="20"/>
                <w:szCs w:val="20"/>
              </w:rPr>
              <w:t>₦61000 -₦90000</w:t>
            </w:r>
          </w:p>
          <w:p w:rsidR="00396A41" w:rsidRPr="00E630D1" w:rsidRDefault="00396A41" w:rsidP="00921457">
            <w:pPr>
              <w:jc w:val="both"/>
              <w:rPr>
                <w:rFonts w:cs="Times New Roman"/>
                <w:sz w:val="20"/>
                <w:szCs w:val="20"/>
              </w:rPr>
            </w:pPr>
            <w:r w:rsidRPr="00E630D1">
              <w:rPr>
                <w:rFonts w:cs="Times New Roman"/>
                <w:sz w:val="20"/>
                <w:szCs w:val="20"/>
              </w:rPr>
              <w:t>₦91000 - ₦120000</w:t>
            </w:r>
          </w:p>
          <w:p w:rsidR="00396A41" w:rsidRPr="00E630D1" w:rsidRDefault="00396A41" w:rsidP="00921457">
            <w:pPr>
              <w:jc w:val="both"/>
              <w:rPr>
                <w:rFonts w:cs="Times New Roman"/>
                <w:sz w:val="20"/>
                <w:szCs w:val="20"/>
              </w:rPr>
            </w:pPr>
            <w:r w:rsidRPr="00E630D1">
              <w:rPr>
                <w:rFonts w:cs="Times New Roman"/>
                <w:sz w:val="20"/>
                <w:szCs w:val="20"/>
              </w:rPr>
              <w:lastRenderedPageBreak/>
              <w:t>Above ₦120000</w:t>
            </w:r>
            <w:r w:rsidRPr="00E630D1">
              <w:rPr>
                <w:rFonts w:cs="Times New Roman"/>
                <w:sz w:val="20"/>
                <w:szCs w:val="20"/>
              </w:rPr>
              <w:tab/>
            </w:r>
          </w:p>
        </w:tc>
        <w:tc>
          <w:tcPr>
            <w:tcW w:w="1262" w:type="dxa"/>
            <w:tcBorders>
              <w:top w:val="nil"/>
              <w:left w:val="nil"/>
              <w:bottom w:val="nil"/>
              <w:right w:val="nil"/>
            </w:tcBorders>
          </w:tcPr>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142</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173</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156</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115</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lastRenderedPageBreak/>
              <w:t>133</w:t>
            </w:r>
          </w:p>
        </w:tc>
        <w:tc>
          <w:tcPr>
            <w:tcW w:w="1336" w:type="dxa"/>
            <w:tcBorders>
              <w:top w:val="nil"/>
              <w:left w:val="nil"/>
              <w:bottom w:val="nil"/>
              <w:right w:val="nil"/>
            </w:tcBorders>
          </w:tcPr>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19.75</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24.06</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21.70</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15.99</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lastRenderedPageBreak/>
              <w:t>18.50</w:t>
            </w:r>
          </w:p>
        </w:tc>
        <w:tc>
          <w:tcPr>
            <w:tcW w:w="2471" w:type="dxa"/>
            <w:tcBorders>
              <w:top w:val="nil"/>
              <w:left w:val="nil"/>
              <w:bottom w:val="nil"/>
              <w:right w:val="nil"/>
            </w:tcBorders>
          </w:tcPr>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19.75</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43.81</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65.51</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81.50</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lastRenderedPageBreak/>
              <w:t>100</w:t>
            </w:r>
          </w:p>
        </w:tc>
      </w:tr>
      <w:tr w:rsidR="00396A41" w:rsidRPr="00E630D1" w:rsidTr="00921457">
        <w:trPr>
          <w:trHeight w:val="1268"/>
          <w:jc w:val="center"/>
        </w:trPr>
        <w:tc>
          <w:tcPr>
            <w:cnfStyle w:val="001000000000" w:firstRow="0" w:lastRow="0" w:firstColumn="1" w:lastColumn="0" w:oddVBand="0" w:evenVBand="0" w:oddHBand="0" w:evenHBand="0" w:firstRowFirstColumn="0" w:firstRowLastColumn="0" w:lastRowFirstColumn="0" w:lastRowLastColumn="0"/>
            <w:tcW w:w="3149" w:type="dxa"/>
            <w:tcBorders>
              <w:top w:val="nil"/>
              <w:left w:val="nil"/>
              <w:bottom w:val="single" w:sz="4" w:space="0" w:color="auto"/>
              <w:right w:val="nil"/>
            </w:tcBorders>
            <w:hideMark/>
          </w:tcPr>
          <w:p w:rsidR="00396A41" w:rsidRPr="00E630D1" w:rsidRDefault="00396A41" w:rsidP="00921457">
            <w:pPr>
              <w:rPr>
                <w:rFonts w:cs="Times New Roman"/>
                <w:b/>
                <w:bCs/>
                <w:sz w:val="20"/>
                <w:szCs w:val="20"/>
              </w:rPr>
            </w:pPr>
            <w:r w:rsidRPr="00E630D1">
              <w:rPr>
                <w:rFonts w:cs="Times New Roman"/>
                <w:b/>
                <w:bCs/>
                <w:sz w:val="20"/>
                <w:szCs w:val="20"/>
              </w:rPr>
              <w:lastRenderedPageBreak/>
              <w:t>Household Size</w:t>
            </w:r>
          </w:p>
          <w:p w:rsidR="00396A41" w:rsidRPr="00E630D1" w:rsidRDefault="00396A41" w:rsidP="00921457">
            <w:pPr>
              <w:rPr>
                <w:rFonts w:cs="Times New Roman"/>
                <w:sz w:val="20"/>
                <w:szCs w:val="20"/>
              </w:rPr>
            </w:pPr>
            <w:r w:rsidRPr="00E630D1">
              <w:rPr>
                <w:rFonts w:cs="Times New Roman"/>
                <w:sz w:val="20"/>
                <w:szCs w:val="20"/>
              </w:rPr>
              <w:t>1 – 5</w:t>
            </w:r>
          </w:p>
          <w:p w:rsidR="00396A41" w:rsidRPr="00E630D1" w:rsidRDefault="00396A41" w:rsidP="00921457">
            <w:pPr>
              <w:rPr>
                <w:rFonts w:cs="Times New Roman"/>
                <w:sz w:val="20"/>
                <w:szCs w:val="20"/>
              </w:rPr>
            </w:pPr>
            <w:r w:rsidRPr="00E630D1">
              <w:rPr>
                <w:rFonts w:cs="Times New Roman"/>
                <w:sz w:val="20"/>
                <w:szCs w:val="20"/>
              </w:rPr>
              <w:t xml:space="preserve">6 – 10 </w:t>
            </w:r>
          </w:p>
          <w:p w:rsidR="00396A41" w:rsidRPr="00E630D1" w:rsidRDefault="00396A41" w:rsidP="00921457">
            <w:pPr>
              <w:rPr>
                <w:rFonts w:cs="Times New Roman"/>
                <w:sz w:val="20"/>
                <w:szCs w:val="20"/>
              </w:rPr>
            </w:pPr>
            <w:r w:rsidRPr="00E630D1">
              <w:rPr>
                <w:rFonts w:cs="Times New Roman"/>
                <w:sz w:val="20"/>
                <w:szCs w:val="20"/>
              </w:rPr>
              <w:t>11 – 15</w:t>
            </w:r>
          </w:p>
          <w:p w:rsidR="00396A41" w:rsidRPr="00E630D1" w:rsidRDefault="00396A41" w:rsidP="00921457">
            <w:pPr>
              <w:rPr>
                <w:rFonts w:cs="Times New Roman"/>
                <w:sz w:val="20"/>
                <w:szCs w:val="20"/>
              </w:rPr>
            </w:pPr>
            <w:r w:rsidRPr="00E630D1">
              <w:rPr>
                <w:rFonts w:cs="Times New Roman"/>
                <w:sz w:val="20"/>
                <w:szCs w:val="20"/>
              </w:rPr>
              <w:t>16 - 20</w:t>
            </w:r>
          </w:p>
          <w:p w:rsidR="00396A41" w:rsidRPr="00E630D1" w:rsidRDefault="00396A41" w:rsidP="00921457">
            <w:pPr>
              <w:rPr>
                <w:rFonts w:cs="Times New Roman"/>
                <w:sz w:val="20"/>
                <w:szCs w:val="20"/>
              </w:rPr>
            </w:pPr>
            <w:r w:rsidRPr="00E630D1">
              <w:rPr>
                <w:rFonts w:cs="Times New Roman"/>
                <w:sz w:val="20"/>
                <w:szCs w:val="20"/>
              </w:rPr>
              <w:t>21 and above</w:t>
            </w:r>
          </w:p>
        </w:tc>
        <w:tc>
          <w:tcPr>
            <w:tcW w:w="1262" w:type="dxa"/>
            <w:tcBorders>
              <w:top w:val="nil"/>
              <w:left w:val="nil"/>
              <w:bottom w:val="single" w:sz="4" w:space="0" w:color="auto"/>
              <w:right w:val="nil"/>
            </w:tcBorders>
          </w:tcPr>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269</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244</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92</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67</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26</w:t>
            </w:r>
          </w:p>
        </w:tc>
        <w:tc>
          <w:tcPr>
            <w:tcW w:w="1336" w:type="dxa"/>
            <w:tcBorders>
              <w:top w:val="nil"/>
              <w:left w:val="nil"/>
              <w:bottom w:val="single" w:sz="4" w:space="0" w:color="auto"/>
              <w:right w:val="nil"/>
            </w:tcBorders>
          </w:tcPr>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38.54</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34.96</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13.18</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 xml:space="preserve">  9.60</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3.72</w:t>
            </w:r>
          </w:p>
        </w:tc>
        <w:tc>
          <w:tcPr>
            <w:tcW w:w="2471" w:type="dxa"/>
            <w:tcBorders>
              <w:top w:val="nil"/>
              <w:left w:val="nil"/>
              <w:bottom w:val="single" w:sz="4" w:space="0" w:color="auto"/>
              <w:right w:val="nil"/>
            </w:tcBorders>
          </w:tcPr>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38.54</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73.50</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86.68</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96.28</w:t>
            </w:r>
          </w:p>
          <w:p w:rsidR="00396A41" w:rsidRPr="00E630D1"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630D1">
              <w:rPr>
                <w:rFonts w:cs="Times New Roman"/>
                <w:sz w:val="20"/>
                <w:szCs w:val="20"/>
              </w:rPr>
              <w:t>100</w:t>
            </w:r>
          </w:p>
        </w:tc>
      </w:tr>
    </w:tbl>
    <w:p w:rsidR="00396A41" w:rsidRPr="00FA0E55" w:rsidRDefault="00396A41" w:rsidP="00396A41">
      <w:pPr>
        <w:rPr>
          <w:rFonts w:asciiTheme="majorBidi" w:hAnsiTheme="majorBidi" w:cstheme="majorBidi"/>
          <w:sz w:val="18"/>
        </w:rPr>
      </w:pPr>
      <w:r w:rsidRPr="00FA0E55">
        <w:rPr>
          <w:rFonts w:asciiTheme="majorBidi" w:hAnsiTheme="majorBidi" w:cstheme="majorBidi"/>
          <w:sz w:val="18"/>
        </w:rPr>
        <w:t>Source: Authors (2024)</w:t>
      </w:r>
    </w:p>
    <w:p w:rsidR="00E630D1" w:rsidRPr="00D14254" w:rsidRDefault="00E630D1" w:rsidP="00396A41">
      <w:pPr>
        <w:jc w:val="both"/>
        <w:rPr>
          <w:rFonts w:asciiTheme="majorBidi" w:hAnsiTheme="majorBidi" w:cstheme="majorBidi"/>
        </w:rPr>
      </w:pPr>
    </w:p>
    <w:p w:rsidR="00396A41" w:rsidRDefault="00396A41" w:rsidP="00396A41">
      <w:pPr>
        <w:jc w:val="both"/>
        <w:rPr>
          <w:rFonts w:asciiTheme="majorBidi" w:hAnsiTheme="majorBidi" w:cstheme="majorBidi"/>
        </w:rPr>
      </w:pPr>
      <w:r w:rsidRPr="00D14254">
        <w:rPr>
          <w:rFonts w:asciiTheme="majorBidi" w:hAnsiTheme="majorBidi" w:cstheme="majorBidi"/>
        </w:rPr>
        <w:t xml:space="preserve">Table 1 indicates the socio-economic characteristics of the respondents. It is indicated that about 80 percent of the respondents are male. This is because most of the household heads are male based on cultural norms of the people in the region. Additionally this is indicating the gender gap in terms of financial inclusion in the region of the study as the samples of the study were randomly selected from the customers of the non interest financial service providers. Additionally, about 79 percent of the respondents are married, this is in line with the cultural practice of the region as the people of the region attach higher value to marriage. They perceived that marriage make the couple to be more responsible. Furthermore, about 95 percent of the respondents are Muslims. This is because Northwest region is the region of Nigeria that are dominated by Muslims. Also, since the respondents were selected from the clients of non interest financial service providers, definitely Muslims are the most patronisers of such services as interest transaction is vehemently condemn in Islam. Similarly, 82 percent of the respondents claimed to earned less N120,000 with some even earning less than N30,000. This is in line with expectation because most of the people in the region are living in extreme poverty. In fact based on the data from NBS (2023), the region constitutes the two States in the country with the highest rate of people leaving in extreme poverty.  </w:t>
      </w:r>
    </w:p>
    <w:p w:rsidR="00D14254" w:rsidRPr="00D14254" w:rsidRDefault="00D14254" w:rsidP="00396A41">
      <w:pPr>
        <w:jc w:val="both"/>
        <w:rPr>
          <w:rFonts w:asciiTheme="majorBidi" w:hAnsiTheme="majorBidi" w:cstheme="majorBidi"/>
        </w:rPr>
      </w:pPr>
    </w:p>
    <w:p w:rsidR="00396A41" w:rsidRPr="00FA0E55" w:rsidRDefault="00396A41" w:rsidP="00396A41">
      <w:pPr>
        <w:rPr>
          <w:rFonts w:asciiTheme="majorBidi" w:hAnsiTheme="majorBidi" w:cstheme="majorBidi"/>
          <w:sz w:val="18"/>
        </w:rPr>
      </w:pPr>
      <w:r w:rsidRPr="00FA0E55">
        <w:rPr>
          <w:rFonts w:asciiTheme="majorBidi" w:hAnsiTheme="majorBidi" w:cstheme="majorBidi"/>
          <w:sz w:val="18"/>
        </w:rPr>
        <w:t xml:space="preserve">  Table 2:   Non Interest Financial services and Inclusion</w:t>
      </w:r>
    </w:p>
    <w:tbl>
      <w:tblPr>
        <w:tblStyle w:val="TableGrid"/>
        <w:tblW w:w="8061" w:type="dxa"/>
        <w:jc w:val="center"/>
        <w:tblInd w:w="738" w:type="dxa"/>
        <w:tblBorders>
          <w:top w:val="single" w:sz="4" w:space="0" w:color="auto"/>
        </w:tblBorders>
        <w:tblLook w:val="04A0" w:firstRow="1" w:lastRow="0" w:firstColumn="1" w:lastColumn="0" w:noHBand="0" w:noVBand="1"/>
      </w:tblPr>
      <w:tblGrid>
        <w:gridCol w:w="3781"/>
        <w:gridCol w:w="1061"/>
        <w:gridCol w:w="1094"/>
        <w:gridCol w:w="2125"/>
      </w:tblGrid>
      <w:tr w:rsidR="00396A41" w:rsidRPr="00D14254" w:rsidTr="00D14254">
        <w:trPr>
          <w:cnfStyle w:val="100000000000" w:firstRow="1" w:lastRow="0" w:firstColumn="0" w:lastColumn="0" w:oddVBand="0" w:evenVBand="0" w:oddHBand="0"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3781" w:type="dxa"/>
            <w:tcBorders>
              <w:top w:val="single" w:sz="12" w:space="0" w:color="auto"/>
              <w:bottom w:val="single" w:sz="12" w:space="0" w:color="auto"/>
            </w:tcBorders>
            <w:hideMark/>
          </w:tcPr>
          <w:p w:rsidR="00396A41" w:rsidRPr="00D14254" w:rsidRDefault="00396A41" w:rsidP="00921457">
            <w:pPr>
              <w:jc w:val="both"/>
              <w:rPr>
                <w:b w:val="0"/>
                <w:bCs/>
                <w:sz w:val="20"/>
                <w:szCs w:val="20"/>
              </w:rPr>
            </w:pPr>
            <w:r w:rsidRPr="00D14254">
              <w:rPr>
                <w:b w:val="0"/>
                <w:bCs/>
                <w:sz w:val="20"/>
                <w:szCs w:val="20"/>
              </w:rPr>
              <w:t>Characteristics</w:t>
            </w:r>
          </w:p>
        </w:tc>
        <w:tc>
          <w:tcPr>
            <w:tcW w:w="1061" w:type="dxa"/>
            <w:tcBorders>
              <w:top w:val="single" w:sz="12" w:space="0" w:color="auto"/>
              <w:bottom w:val="single" w:sz="12" w:space="0" w:color="auto"/>
            </w:tcBorders>
            <w:hideMark/>
          </w:tcPr>
          <w:p w:rsidR="00396A41" w:rsidRPr="00D14254" w:rsidRDefault="00396A41" w:rsidP="00921457">
            <w:pPr>
              <w:cnfStyle w:val="100000000000" w:firstRow="1" w:lastRow="0" w:firstColumn="0" w:lastColumn="0" w:oddVBand="0" w:evenVBand="0" w:oddHBand="0" w:evenHBand="0" w:firstRowFirstColumn="0" w:firstRowLastColumn="0" w:lastRowFirstColumn="0" w:lastRowLastColumn="0"/>
              <w:rPr>
                <w:b w:val="0"/>
                <w:bCs/>
                <w:sz w:val="20"/>
                <w:szCs w:val="20"/>
              </w:rPr>
            </w:pPr>
            <w:r w:rsidRPr="00D14254">
              <w:rPr>
                <w:b w:val="0"/>
                <w:bCs/>
                <w:sz w:val="20"/>
                <w:szCs w:val="20"/>
              </w:rPr>
              <w:t>Frequency</w:t>
            </w:r>
          </w:p>
        </w:tc>
        <w:tc>
          <w:tcPr>
            <w:tcW w:w="1094" w:type="dxa"/>
            <w:tcBorders>
              <w:top w:val="single" w:sz="12" w:space="0" w:color="auto"/>
              <w:bottom w:val="single" w:sz="12" w:space="0" w:color="auto"/>
            </w:tcBorders>
            <w:hideMark/>
          </w:tcPr>
          <w:p w:rsidR="00396A41" w:rsidRPr="00D14254" w:rsidRDefault="00396A41" w:rsidP="00921457">
            <w:pPr>
              <w:cnfStyle w:val="100000000000" w:firstRow="1" w:lastRow="0" w:firstColumn="0" w:lastColumn="0" w:oddVBand="0" w:evenVBand="0" w:oddHBand="0" w:evenHBand="0" w:firstRowFirstColumn="0" w:firstRowLastColumn="0" w:lastRowFirstColumn="0" w:lastRowLastColumn="0"/>
              <w:rPr>
                <w:b w:val="0"/>
                <w:bCs/>
                <w:sz w:val="20"/>
                <w:szCs w:val="20"/>
              </w:rPr>
            </w:pPr>
            <w:r w:rsidRPr="00D14254">
              <w:rPr>
                <w:b w:val="0"/>
                <w:bCs/>
                <w:sz w:val="20"/>
                <w:szCs w:val="20"/>
              </w:rPr>
              <w:t>Percentage</w:t>
            </w:r>
          </w:p>
        </w:tc>
        <w:tc>
          <w:tcPr>
            <w:tcW w:w="2125" w:type="dxa"/>
            <w:tcBorders>
              <w:top w:val="single" w:sz="12" w:space="0" w:color="auto"/>
              <w:bottom w:val="single" w:sz="12" w:space="0" w:color="auto"/>
            </w:tcBorders>
            <w:hideMark/>
          </w:tcPr>
          <w:p w:rsidR="00396A41" w:rsidRPr="00D14254" w:rsidRDefault="00396A41" w:rsidP="00921457">
            <w:pPr>
              <w:cnfStyle w:val="100000000000" w:firstRow="1" w:lastRow="0" w:firstColumn="0" w:lastColumn="0" w:oddVBand="0" w:evenVBand="0" w:oddHBand="0" w:evenHBand="0" w:firstRowFirstColumn="0" w:firstRowLastColumn="0" w:lastRowFirstColumn="0" w:lastRowLastColumn="0"/>
              <w:rPr>
                <w:b w:val="0"/>
                <w:bCs/>
                <w:sz w:val="20"/>
                <w:szCs w:val="20"/>
              </w:rPr>
            </w:pPr>
            <w:r w:rsidRPr="00D14254">
              <w:rPr>
                <w:b w:val="0"/>
                <w:bCs/>
                <w:sz w:val="20"/>
                <w:szCs w:val="20"/>
              </w:rPr>
              <w:t>Cumulative Percentage</w:t>
            </w:r>
          </w:p>
        </w:tc>
      </w:tr>
      <w:tr w:rsidR="00396A41" w:rsidRPr="00D14254" w:rsidTr="00D14254">
        <w:trPr>
          <w:trHeight w:val="978"/>
          <w:jc w:val="center"/>
        </w:trPr>
        <w:tc>
          <w:tcPr>
            <w:cnfStyle w:val="001000000000" w:firstRow="0" w:lastRow="0" w:firstColumn="1" w:lastColumn="0" w:oddVBand="0" w:evenVBand="0" w:oddHBand="0" w:evenHBand="0" w:firstRowFirstColumn="0" w:firstRowLastColumn="0" w:lastRowFirstColumn="0" w:lastRowLastColumn="0"/>
            <w:tcW w:w="3781" w:type="dxa"/>
            <w:tcBorders>
              <w:top w:val="nil"/>
              <w:left w:val="nil"/>
              <w:bottom w:val="nil"/>
              <w:right w:val="nil"/>
            </w:tcBorders>
            <w:hideMark/>
          </w:tcPr>
          <w:p w:rsidR="00396A41" w:rsidRPr="00D14254" w:rsidRDefault="00396A41" w:rsidP="00921457">
            <w:pPr>
              <w:jc w:val="both"/>
              <w:rPr>
                <w:rFonts w:cs="Times New Roman"/>
                <w:b/>
                <w:bCs/>
                <w:sz w:val="20"/>
                <w:szCs w:val="20"/>
              </w:rPr>
            </w:pPr>
            <w:r w:rsidRPr="00D14254">
              <w:rPr>
                <w:rFonts w:cs="Times New Roman"/>
                <w:b/>
                <w:bCs/>
                <w:sz w:val="20"/>
                <w:szCs w:val="20"/>
              </w:rPr>
              <w:t xml:space="preserve">Having Investment in any NI-financial institution </w:t>
            </w:r>
          </w:p>
          <w:p w:rsidR="00396A41" w:rsidRPr="00D14254" w:rsidRDefault="00396A41" w:rsidP="00921457">
            <w:pPr>
              <w:jc w:val="both"/>
              <w:rPr>
                <w:rFonts w:cs="Times New Roman"/>
                <w:sz w:val="20"/>
                <w:szCs w:val="20"/>
              </w:rPr>
            </w:pPr>
            <w:r w:rsidRPr="00D14254">
              <w:rPr>
                <w:rFonts w:cs="Times New Roman"/>
                <w:sz w:val="20"/>
                <w:szCs w:val="20"/>
              </w:rPr>
              <w:t xml:space="preserve">Yes </w:t>
            </w:r>
          </w:p>
          <w:p w:rsidR="00396A41" w:rsidRPr="00D14254" w:rsidRDefault="00396A41" w:rsidP="00921457">
            <w:pPr>
              <w:jc w:val="both"/>
              <w:rPr>
                <w:rFonts w:cs="Times New Roman"/>
                <w:sz w:val="20"/>
                <w:szCs w:val="20"/>
              </w:rPr>
            </w:pPr>
            <w:r w:rsidRPr="00D14254">
              <w:rPr>
                <w:rFonts w:cs="Times New Roman"/>
                <w:sz w:val="20"/>
                <w:szCs w:val="20"/>
              </w:rPr>
              <w:t>No</w:t>
            </w:r>
          </w:p>
        </w:tc>
        <w:tc>
          <w:tcPr>
            <w:tcW w:w="1061" w:type="dxa"/>
            <w:tcBorders>
              <w:top w:val="nil"/>
              <w:left w:val="nil"/>
              <w:bottom w:val="nil"/>
              <w:right w:val="nil"/>
            </w:tcBorders>
          </w:tcPr>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174</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508</w:t>
            </w:r>
          </w:p>
        </w:tc>
        <w:tc>
          <w:tcPr>
            <w:tcW w:w="1094" w:type="dxa"/>
            <w:tcBorders>
              <w:top w:val="nil"/>
              <w:left w:val="nil"/>
              <w:bottom w:val="nil"/>
              <w:right w:val="nil"/>
            </w:tcBorders>
          </w:tcPr>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25.51</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74.49</w:t>
            </w:r>
          </w:p>
        </w:tc>
        <w:tc>
          <w:tcPr>
            <w:tcW w:w="2125" w:type="dxa"/>
            <w:tcBorders>
              <w:top w:val="nil"/>
              <w:left w:val="nil"/>
              <w:bottom w:val="nil"/>
              <w:right w:val="nil"/>
            </w:tcBorders>
          </w:tcPr>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25.51</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100</w:t>
            </w:r>
          </w:p>
        </w:tc>
      </w:tr>
      <w:tr w:rsidR="00396A41" w:rsidRPr="00D14254" w:rsidTr="00D14254">
        <w:trPr>
          <w:jc w:val="center"/>
        </w:trPr>
        <w:tc>
          <w:tcPr>
            <w:cnfStyle w:val="001000000000" w:firstRow="0" w:lastRow="0" w:firstColumn="1" w:lastColumn="0" w:oddVBand="0" w:evenVBand="0" w:oddHBand="0" w:evenHBand="0" w:firstRowFirstColumn="0" w:firstRowLastColumn="0" w:lastRowFirstColumn="0" w:lastRowLastColumn="0"/>
            <w:tcW w:w="3781" w:type="dxa"/>
            <w:tcBorders>
              <w:top w:val="nil"/>
              <w:left w:val="nil"/>
              <w:bottom w:val="nil"/>
              <w:right w:val="nil"/>
            </w:tcBorders>
            <w:hideMark/>
          </w:tcPr>
          <w:p w:rsidR="00396A41" w:rsidRPr="00D14254" w:rsidRDefault="00396A41" w:rsidP="00921457">
            <w:pPr>
              <w:rPr>
                <w:rFonts w:cs="Times New Roman"/>
                <w:b/>
                <w:bCs/>
                <w:sz w:val="20"/>
                <w:szCs w:val="20"/>
              </w:rPr>
            </w:pPr>
            <w:r w:rsidRPr="00D14254">
              <w:rPr>
                <w:rFonts w:cs="Times New Roman"/>
                <w:b/>
                <w:bCs/>
                <w:sz w:val="20"/>
                <w:szCs w:val="20"/>
              </w:rPr>
              <w:t>Accessibility to NI-Facility</w:t>
            </w:r>
          </w:p>
          <w:p w:rsidR="00396A41" w:rsidRPr="00D14254" w:rsidRDefault="00396A41" w:rsidP="00921457">
            <w:pPr>
              <w:rPr>
                <w:rFonts w:cs="Times New Roman"/>
                <w:sz w:val="20"/>
                <w:szCs w:val="20"/>
              </w:rPr>
            </w:pPr>
            <w:r w:rsidRPr="00D14254">
              <w:rPr>
                <w:rFonts w:cs="Times New Roman"/>
                <w:sz w:val="20"/>
                <w:szCs w:val="20"/>
              </w:rPr>
              <w:t>Highly accessible</w:t>
            </w:r>
          </w:p>
          <w:p w:rsidR="00396A41" w:rsidRPr="00D14254" w:rsidRDefault="00396A41" w:rsidP="00921457">
            <w:pPr>
              <w:rPr>
                <w:rFonts w:cs="Times New Roman"/>
                <w:sz w:val="20"/>
                <w:szCs w:val="20"/>
              </w:rPr>
            </w:pPr>
            <w:r w:rsidRPr="00D14254">
              <w:rPr>
                <w:rFonts w:cs="Times New Roman"/>
                <w:sz w:val="20"/>
                <w:szCs w:val="20"/>
              </w:rPr>
              <w:t xml:space="preserve">Accessible </w:t>
            </w:r>
          </w:p>
          <w:p w:rsidR="00396A41" w:rsidRPr="00D14254" w:rsidRDefault="00396A41" w:rsidP="00921457">
            <w:pPr>
              <w:rPr>
                <w:rFonts w:cs="Times New Roman"/>
                <w:sz w:val="20"/>
                <w:szCs w:val="20"/>
              </w:rPr>
            </w:pPr>
            <w:r w:rsidRPr="00D14254">
              <w:rPr>
                <w:rFonts w:cs="Times New Roman"/>
                <w:sz w:val="20"/>
                <w:szCs w:val="20"/>
              </w:rPr>
              <w:t xml:space="preserve">Neutral </w:t>
            </w:r>
          </w:p>
          <w:p w:rsidR="00396A41" w:rsidRPr="00D14254" w:rsidRDefault="00396A41" w:rsidP="00921457">
            <w:pPr>
              <w:rPr>
                <w:rFonts w:cs="Times New Roman"/>
                <w:sz w:val="20"/>
                <w:szCs w:val="20"/>
              </w:rPr>
            </w:pPr>
            <w:r w:rsidRPr="00D14254">
              <w:rPr>
                <w:rFonts w:cs="Times New Roman"/>
                <w:sz w:val="20"/>
                <w:szCs w:val="20"/>
              </w:rPr>
              <w:t>Fairly accessible</w:t>
            </w:r>
          </w:p>
          <w:p w:rsidR="00396A41" w:rsidRPr="00D14254" w:rsidRDefault="00396A41" w:rsidP="00921457">
            <w:pPr>
              <w:rPr>
                <w:rFonts w:cs="Times New Roman"/>
                <w:sz w:val="20"/>
                <w:szCs w:val="20"/>
              </w:rPr>
            </w:pPr>
            <w:r w:rsidRPr="00D14254">
              <w:rPr>
                <w:rFonts w:cs="Times New Roman"/>
                <w:sz w:val="20"/>
                <w:szCs w:val="20"/>
              </w:rPr>
              <w:t>Poorly accessible</w:t>
            </w:r>
          </w:p>
        </w:tc>
        <w:tc>
          <w:tcPr>
            <w:tcW w:w="1061" w:type="dxa"/>
            <w:tcBorders>
              <w:top w:val="nil"/>
              <w:left w:val="nil"/>
              <w:bottom w:val="nil"/>
              <w:right w:val="nil"/>
            </w:tcBorders>
          </w:tcPr>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10</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26</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65</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221</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268</w:t>
            </w:r>
          </w:p>
        </w:tc>
        <w:tc>
          <w:tcPr>
            <w:tcW w:w="1094" w:type="dxa"/>
            <w:tcBorders>
              <w:top w:val="nil"/>
              <w:left w:val="nil"/>
              <w:bottom w:val="nil"/>
              <w:right w:val="nil"/>
            </w:tcBorders>
          </w:tcPr>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1.69</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4.41</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11.02</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37.46</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45.42</w:t>
            </w:r>
          </w:p>
        </w:tc>
        <w:tc>
          <w:tcPr>
            <w:tcW w:w="2125" w:type="dxa"/>
            <w:tcBorders>
              <w:top w:val="nil"/>
              <w:left w:val="nil"/>
              <w:bottom w:val="nil"/>
              <w:right w:val="nil"/>
            </w:tcBorders>
          </w:tcPr>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1.69</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6.10</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17.12</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54.58</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100</w:t>
            </w:r>
          </w:p>
        </w:tc>
      </w:tr>
      <w:tr w:rsidR="00396A41" w:rsidRPr="00D14254" w:rsidTr="00D14254">
        <w:trPr>
          <w:jc w:val="center"/>
        </w:trPr>
        <w:tc>
          <w:tcPr>
            <w:cnfStyle w:val="001000000000" w:firstRow="0" w:lastRow="0" w:firstColumn="1" w:lastColumn="0" w:oddVBand="0" w:evenVBand="0" w:oddHBand="0" w:evenHBand="0" w:firstRowFirstColumn="0" w:firstRowLastColumn="0" w:lastRowFirstColumn="0" w:lastRowLastColumn="0"/>
            <w:tcW w:w="3781" w:type="dxa"/>
            <w:tcBorders>
              <w:top w:val="nil"/>
              <w:left w:val="nil"/>
              <w:bottom w:val="nil"/>
              <w:right w:val="nil"/>
            </w:tcBorders>
            <w:hideMark/>
          </w:tcPr>
          <w:p w:rsidR="00396A41" w:rsidRPr="00D14254" w:rsidRDefault="00396A41" w:rsidP="00921457">
            <w:pPr>
              <w:rPr>
                <w:rFonts w:cs="Times New Roman"/>
                <w:b/>
                <w:bCs/>
                <w:sz w:val="20"/>
                <w:szCs w:val="20"/>
              </w:rPr>
            </w:pPr>
            <w:r w:rsidRPr="00D14254">
              <w:rPr>
                <w:rFonts w:cs="Times New Roman"/>
                <w:b/>
                <w:bCs/>
                <w:sz w:val="20"/>
                <w:szCs w:val="20"/>
              </w:rPr>
              <w:t>Request for Financing from NI-Financial Institutions</w:t>
            </w:r>
          </w:p>
          <w:p w:rsidR="00396A41" w:rsidRPr="00D14254" w:rsidRDefault="00396A41" w:rsidP="00921457">
            <w:pPr>
              <w:rPr>
                <w:rFonts w:cs="Times New Roman"/>
                <w:sz w:val="20"/>
                <w:szCs w:val="20"/>
              </w:rPr>
            </w:pPr>
            <w:r w:rsidRPr="00D14254">
              <w:rPr>
                <w:rFonts w:cs="Times New Roman"/>
                <w:sz w:val="20"/>
                <w:szCs w:val="20"/>
              </w:rPr>
              <w:t>Yes</w:t>
            </w:r>
          </w:p>
          <w:p w:rsidR="00396A41" w:rsidRPr="00D14254" w:rsidRDefault="00396A41" w:rsidP="00921457">
            <w:pPr>
              <w:rPr>
                <w:rFonts w:cs="Times New Roman"/>
                <w:sz w:val="20"/>
                <w:szCs w:val="20"/>
              </w:rPr>
            </w:pPr>
            <w:r w:rsidRPr="00D14254">
              <w:rPr>
                <w:rFonts w:cs="Times New Roman"/>
                <w:sz w:val="20"/>
                <w:szCs w:val="20"/>
              </w:rPr>
              <w:t>No</w:t>
            </w:r>
          </w:p>
        </w:tc>
        <w:tc>
          <w:tcPr>
            <w:tcW w:w="1061" w:type="dxa"/>
            <w:tcBorders>
              <w:top w:val="nil"/>
              <w:left w:val="nil"/>
              <w:bottom w:val="nil"/>
              <w:right w:val="nil"/>
            </w:tcBorders>
          </w:tcPr>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543</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131</w:t>
            </w:r>
          </w:p>
        </w:tc>
        <w:tc>
          <w:tcPr>
            <w:tcW w:w="1094" w:type="dxa"/>
            <w:tcBorders>
              <w:top w:val="nil"/>
              <w:left w:val="nil"/>
              <w:bottom w:val="nil"/>
              <w:right w:val="nil"/>
            </w:tcBorders>
          </w:tcPr>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80.56</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19.44</w:t>
            </w:r>
          </w:p>
        </w:tc>
        <w:tc>
          <w:tcPr>
            <w:tcW w:w="2125" w:type="dxa"/>
            <w:tcBorders>
              <w:top w:val="nil"/>
              <w:left w:val="nil"/>
              <w:bottom w:val="nil"/>
              <w:right w:val="nil"/>
            </w:tcBorders>
          </w:tcPr>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80.56</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100</w:t>
            </w:r>
          </w:p>
        </w:tc>
      </w:tr>
      <w:tr w:rsidR="00396A41" w:rsidRPr="00D14254" w:rsidTr="00D14254">
        <w:trPr>
          <w:jc w:val="center"/>
        </w:trPr>
        <w:tc>
          <w:tcPr>
            <w:cnfStyle w:val="001000000000" w:firstRow="0" w:lastRow="0" w:firstColumn="1" w:lastColumn="0" w:oddVBand="0" w:evenVBand="0" w:oddHBand="0" w:evenHBand="0" w:firstRowFirstColumn="0" w:firstRowLastColumn="0" w:lastRowFirstColumn="0" w:lastRowLastColumn="0"/>
            <w:tcW w:w="3781" w:type="dxa"/>
            <w:tcBorders>
              <w:top w:val="nil"/>
              <w:left w:val="nil"/>
              <w:bottom w:val="nil"/>
              <w:right w:val="nil"/>
            </w:tcBorders>
            <w:hideMark/>
          </w:tcPr>
          <w:p w:rsidR="00396A41" w:rsidRPr="00D14254" w:rsidRDefault="00396A41" w:rsidP="00921457">
            <w:pPr>
              <w:rPr>
                <w:rFonts w:cs="Times New Roman"/>
                <w:b/>
                <w:bCs/>
                <w:sz w:val="20"/>
                <w:szCs w:val="20"/>
              </w:rPr>
            </w:pPr>
            <w:r w:rsidRPr="00D14254">
              <w:rPr>
                <w:rFonts w:cs="Times New Roman"/>
                <w:b/>
                <w:bCs/>
                <w:sz w:val="20"/>
                <w:szCs w:val="20"/>
              </w:rPr>
              <w:t>Type of Account have in NI- Financial Institutions</w:t>
            </w:r>
          </w:p>
          <w:p w:rsidR="00396A41" w:rsidRPr="00D14254" w:rsidRDefault="00396A41" w:rsidP="00921457">
            <w:pPr>
              <w:rPr>
                <w:rFonts w:cs="Times New Roman"/>
                <w:sz w:val="20"/>
                <w:szCs w:val="20"/>
              </w:rPr>
            </w:pPr>
            <w:r w:rsidRPr="00D14254">
              <w:rPr>
                <w:rFonts w:cs="Times New Roman"/>
                <w:sz w:val="20"/>
                <w:szCs w:val="20"/>
              </w:rPr>
              <w:t>Current Account</w:t>
            </w:r>
          </w:p>
          <w:p w:rsidR="00396A41" w:rsidRPr="00D14254" w:rsidRDefault="00396A41" w:rsidP="00921457">
            <w:pPr>
              <w:rPr>
                <w:rFonts w:cs="Times New Roman"/>
                <w:sz w:val="20"/>
                <w:szCs w:val="20"/>
              </w:rPr>
            </w:pPr>
            <w:r w:rsidRPr="00D14254">
              <w:rPr>
                <w:rFonts w:cs="Times New Roman"/>
                <w:sz w:val="20"/>
                <w:szCs w:val="20"/>
              </w:rPr>
              <w:t xml:space="preserve">Savings Account                                                   </w:t>
            </w:r>
          </w:p>
          <w:p w:rsidR="00396A41" w:rsidRPr="00D14254" w:rsidRDefault="00396A41" w:rsidP="00921457">
            <w:pPr>
              <w:rPr>
                <w:rFonts w:cs="Times New Roman"/>
                <w:sz w:val="20"/>
                <w:szCs w:val="20"/>
              </w:rPr>
            </w:pPr>
            <w:proofErr w:type="spellStart"/>
            <w:r w:rsidRPr="00D14254">
              <w:rPr>
                <w:rFonts w:cs="Times New Roman"/>
                <w:sz w:val="20"/>
                <w:szCs w:val="20"/>
              </w:rPr>
              <w:t>Mudarabah</w:t>
            </w:r>
            <w:proofErr w:type="spellEnd"/>
            <w:r w:rsidRPr="00D14254">
              <w:rPr>
                <w:rFonts w:cs="Times New Roman"/>
                <w:sz w:val="20"/>
                <w:szCs w:val="20"/>
              </w:rPr>
              <w:t xml:space="preserve"> Investment Account</w:t>
            </w:r>
          </w:p>
          <w:p w:rsidR="00396A41" w:rsidRPr="00D14254" w:rsidRDefault="00396A41" w:rsidP="00921457">
            <w:pPr>
              <w:rPr>
                <w:rFonts w:cs="Times New Roman"/>
                <w:sz w:val="20"/>
                <w:szCs w:val="20"/>
              </w:rPr>
            </w:pPr>
            <w:proofErr w:type="spellStart"/>
            <w:r w:rsidRPr="00D14254">
              <w:rPr>
                <w:rFonts w:cs="Times New Roman"/>
                <w:sz w:val="20"/>
                <w:szCs w:val="20"/>
              </w:rPr>
              <w:t>Wakalah</w:t>
            </w:r>
            <w:proofErr w:type="spellEnd"/>
            <w:r w:rsidRPr="00D14254">
              <w:rPr>
                <w:rFonts w:cs="Times New Roman"/>
                <w:sz w:val="20"/>
                <w:szCs w:val="20"/>
              </w:rPr>
              <w:t xml:space="preserve"> Investment Account</w:t>
            </w:r>
          </w:p>
        </w:tc>
        <w:tc>
          <w:tcPr>
            <w:tcW w:w="1061" w:type="dxa"/>
            <w:tcBorders>
              <w:top w:val="nil"/>
              <w:left w:val="nil"/>
              <w:bottom w:val="nil"/>
              <w:right w:val="nil"/>
            </w:tcBorders>
            <w:hideMark/>
          </w:tcPr>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266</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392</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20</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5</w:t>
            </w:r>
          </w:p>
        </w:tc>
        <w:tc>
          <w:tcPr>
            <w:tcW w:w="1094" w:type="dxa"/>
            <w:tcBorders>
              <w:top w:val="nil"/>
              <w:left w:val="nil"/>
              <w:bottom w:val="nil"/>
              <w:right w:val="nil"/>
            </w:tcBorders>
            <w:hideMark/>
          </w:tcPr>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38.95</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57.39</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2.93</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0.73</w:t>
            </w:r>
          </w:p>
        </w:tc>
        <w:tc>
          <w:tcPr>
            <w:tcW w:w="2125" w:type="dxa"/>
            <w:tcBorders>
              <w:top w:val="nil"/>
              <w:left w:val="nil"/>
              <w:bottom w:val="nil"/>
              <w:right w:val="nil"/>
            </w:tcBorders>
            <w:hideMark/>
          </w:tcPr>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38.95</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96.34</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99.27</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100</w:t>
            </w:r>
          </w:p>
        </w:tc>
      </w:tr>
      <w:tr w:rsidR="00396A41" w:rsidRPr="00D14254" w:rsidTr="00D14254">
        <w:trPr>
          <w:jc w:val="center"/>
        </w:trPr>
        <w:tc>
          <w:tcPr>
            <w:cnfStyle w:val="001000000000" w:firstRow="0" w:lastRow="0" w:firstColumn="1" w:lastColumn="0" w:oddVBand="0" w:evenVBand="0" w:oddHBand="0" w:evenHBand="0" w:firstRowFirstColumn="0" w:firstRowLastColumn="0" w:lastRowFirstColumn="0" w:lastRowLastColumn="0"/>
            <w:tcW w:w="3781" w:type="dxa"/>
            <w:tcBorders>
              <w:top w:val="nil"/>
              <w:left w:val="nil"/>
              <w:bottom w:val="nil"/>
              <w:right w:val="nil"/>
            </w:tcBorders>
            <w:hideMark/>
          </w:tcPr>
          <w:p w:rsidR="00396A41" w:rsidRPr="00D14254" w:rsidRDefault="00396A41" w:rsidP="00921457">
            <w:pPr>
              <w:rPr>
                <w:rFonts w:cs="Times New Roman"/>
                <w:b/>
                <w:bCs/>
                <w:sz w:val="20"/>
                <w:szCs w:val="20"/>
              </w:rPr>
            </w:pPr>
            <w:r w:rsidRPr="00D14254">
              <w:rPr>
                <w:rFonts w:cs="Times New Roman"/>
                <w:b/>
                <w:bCs/>
                <w:sz w:val="20"/>
                <w:szCs w:val="20"/>
              </w:rPr>
              <w:t>Number of times NI loan/facility received</w:t>
            </w:r>
          </w:p>
          <w:p w:rsidR="00396A41" w:rsidRPr="00D14254" w:rsidRDefault="00396A41" w:rsidP="00921457">
            <w:pPr>
              <w:rPr>
                <w:rFonts w:cs="Times New Roman"/>
                <w:sz w:val="20"/>
                <w:szCs w:val="20"/>
              </w:rPr>
            </w:pPr>
            <w:r w:rsidRPr="00D14254">
              <w:rPr>
                <w:rFonts w:cs="Times New Roman"/>
                <w:sz w:val="20"/>
                <w:szCs w:val="20"/>
              </w:rPr>
              <w:t xml:space="preserve">Zero </w:t>
            </w:r>
          </w:p>
          <w:p w:rsidR="00396A41" w:rsidRPr="00D14254" w:rsidRDefault="00396A41" w:rsidP="00921457">
            <w:pPr>
              <w:rPr>
                <w:rFonts w:cs="Times New Roman"/>
                <w:sz w:val="20"/>
                <w:szCs w:val="20"/>
              </w:rPr>
            </w:pPr>
            <w:r w:rsidRPr="00D14254">
              <w:rPr>
                <w:rFonts w:cs="Times New Roman"/>
                <w:sz w:val="20"/>
                <w:szCs w:val="20"/>
              </w:rPr>
              <w:t xml:space="preserve">One </w:t>
            </w:r>
          </w:p>
          <w:p w:rsidR="00396A41" w:rsidRPr="00D14254" w:rsidRDefault="00396A41" w:rsidP="00921457">
            <w:pPr>
              <w:rPr>
                <w:rFonts w:cs="Times New Roman"/>
                <w:sz w:val="20"/>
                <w:szCs w:val="20"/>
              </w:rPr>
            </w:pPr>
            <w:r w:rsidRPr="00D14254">
              <w:rPr>
                <w:rFonts w:cs="Times New Roman"/>
                <w:sz w:val="20"/>
                <w:szCs w:val="20"/>
              </w:rPr>
              <w:t xml:space="preserve">Two  </w:t>
            </w:r>
          </w:p>
          <w:p w:rsidR="00396A41" w:rsidRPr="00D14254" w:rsidRDefault="00396A41" w:rsidP="00921457">
            <w:pPr>
              <w:rPr>
                <w:rFonts w:cs="Times New Roman"/>
                <w:sz w:val="20"/>
                <w:szCs w:val="20"/>
              </w:rPr>
            </w:pPr>
            <w:r w:rsidRPr="00D14254">
              <w:rPr>
                <w:rFonts w:cs="Times New Roman"/>
                <w:sz w:val="20"/>
                <w:szCs w:val="20"/>
              </w:rPr>
              <w:t xml:space="preserve">Three </w:t>
            </w:r>
          </w:p>
          <w:p w:rsidR="00396A41" w:rsidRPr="00D14254" w:rsidRDefault="00396A41" w:rsidP="00921457">
            <w:pPr>
              <w:rPr>
                <w:rFonts w:cs="Times New Roman"/>
                <w:sz w:val="20"/>
                <w:szCs w:val="20"/>
              </w:rPr>
            </w:pPr>
            <w:r w:rsidRPr="00D14254">
              <w:rPr>
                <w:rFonts w:cs="Times New Roman"/>
                <w:sz w:val="20"/>
                <w:szCs w:val="20"/>
              </w:rPr>
              <w:t xml:space="preserve">Four </w:t>
            </w:r>
          </w:p>
          <w:p w:rsidR="00396A41" w:rsidRPr="00D14254" w:rsidRDefault="00396A41" w:rsidP="00921457">
            <w:pPr>
              <w:rPr>
                <w:rFonts w:cs="Times New Roman"/>
                <w:sz w:val="20"/>
                <w:szCs w:val="20"/>
              </w:rPr>
            </w:pPr>
            <w:r w:rsidRPr="00D14254">
              <w:rPr>
                <w:rFonts w:cs="Times New Roman"/>
                <w:sz w:val="20"/>
                <w:szCs w:val="20"/>
              </w:rPr>
              <w:t>Five</w:t>
            </w:r>
          </w:p>
          <w:p w:rsidR="00396A41" w:rsidRPr="00D14254" w:rsidRDefault="00396A41" w:rsidP="00921457">
            <w:pPr>
              <w:rPr>
                <w:rFonts w:cs="Times New Roman"/>
                <w:sz w:val="20"/>
                <w:szCs w:val="20"/>
              </w:rPr>
            </w:pPr>
            <w:r w:rsidRPr="00D14254">
              <w:rPr>
                <w:rFonts w:cs="Times New Roman"/>
                <w:sz w:val="20"/>
                <w:szCs w:val="20"/>
              </w:rPr>
              <w:t xml:space="preserve">Six </w:t>
            </w:r>
          </w:p>
        </w:tc>
        <w:tc>
          <w:tcPr>
            <w:tcW w:w="1061" w:type="dxa"/>
            <w:tcBorders>
              <w:top w:val="nil"/>
              <w:left w:val="nil"/>
              <w:bottom w:val="nil"/>
              <w:right w:val="nil"/>
            </w:tcBorders>
          </w:tcPr>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2</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326</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123</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54</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7</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3</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w:t>
            </w:r>
          </w:p>
        </w:tc>
        <w:tc>
          <w:tcPr>
            <w:tcW w:w="1094" w:type="dxa"/>
            <w:tcBorders>
              <w:top w:val="nil"/>
              <w:left w:val="nil"/>
              <w:bottom w:val="nil"/>
              <w:right w:val="nil"/>
            </w:tcBorders>
          </w:tcPr>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0.39</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63.18</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23.84</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10.47</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1.36</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0.58</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0.19</w:t>
            </w:r>
          </w:p>
        </w:tc>
        <w:tc>
          <w:tcPr>
            <w:tcW w:w="2125" w:type="dxa"/>
            <w:tcBorders>
              <w:top w:val="nil"/>
              <w:left w:val="nil"/>
              <w:bottom w:val="nil"/>
              <w:right w:val="nil"/>
            </w:tcBorders>
          </w:tcPr>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0.39</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63.57</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87.40</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97.87</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99.22</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99.81</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100</w:t>
            </w:r>
          </w:p>
        </w:tc>
      </w:tr>
      <w:tr w:rsidR="00396A41" w:rsidRPr="00D14254" w:rsidTr="00D14254">
        <w:trPr>
          <w:jc w:val="center"/>
        </w:trPr>
        <w:tc>
          <w:tcPr>
            <w:cnfStyle w:val="001000000000" w:firstRow="0" w:lastRow="0" w:firstColumn="1" w:lastColumn="0" w:oddVBand="0" w:evenVBand="0" w:oddHBand="0" w:evenHBand="0" w:firstRowFirstColumn="0" w:firstRowLastColumn="0" w:lastRowFirstColumn="0" w:lastRowLastColumn="0"/>
            <w:tcW w:w="3781" w:type="dxa"/>
            <w:tcBorders>
              <w:top w:val="nil"/>
              <w:left w:val="nil"/>
              <w:bottom w:val="nil"/>
              <w:right w:val="nil"/>
            </w:tcBorders>
            <w:hideMark/>
          </w:tcPr>
          <w:p w:rsidR="00396A41" w:rsidRPr="00D14254" w:rsidRDefault="00396A41" w:rsidP="00921457">
            <w:pPr>
              <w:rPr>
                <w:rFonts w:cs="Times New Roman"/>
                <w:b/>
                <w:bCs/>
                <w:sz w:val="20"/>
                <w:szCs w:val="20"/>
              </w:rPr>
            </w:pPr>
            <w:r w:rsidRPr="00D14254">
              <w:rPr>
                <w:rFonts w:cs="Times New Roman"/>
                <w:b/>
                <w:bCs/>
                <w:sz w:val="20"/>
                <w:szCs w:val="20"/>
              </w:rPr>
              <w:t>Non-Interest Facility</w:t>
            </w:r>
          </w:p>
          <w:p w:rsidR="00396A41" w:rsidRPr="00D14254" w:rsidRDefault="00396A41" w:rsidP="00921457">
            <w:pPr>
              <w:jc w:val="both"/>
              <w:rPr>
                <w:rFonts w:cs="Times New Roman"/>
                <w:sz w:val="20"/>
                <w:szCs w:val="20"/>
              </w:rPr>
            </w:pPr>
            <w:proofErr w:type="spellStart"/>
            <w:r w:rsidRPr="00D14254">
              <w:rPr>
                <w:rFonts w:cs="Times New Roman"/>
                <w:sz w:val="20"/>
                <w:szCs w:val="20"/>
              </w:rPr>
              <w:t>Mudarabah</w:t>
            </w:r>
            <w:proofErr w:type="spellEnd"/>
            <w:r w:rsidRPr="00D14254">
              <w:rPr>
                <w:rFonts w:cs="Times New Roman"/>
                <w:sz w:val="20"/>
                <w:szCs w:val="20"/>
              </w:rPr>
              <w:t xml:space="preserve"> Financing</w:t>
            </w:r>
            <w:r w:rsidRPr="00D14254">
              <w:rPr>
                <w:rFonts w:cs="Times New Roman"/>
                <w:sz w:val="20"/>
                <w:szCs w:val="20"/>
              </w:rPr>
              <w:tab/>
            </w:r>
          </w:p>
          <w:p w:rsidR="00396A41" w:rsidRPr="00D14254" w:rsidRDefault="00396A41" w:rsidP="00921457">
            <w:pPr>
              <w:jc w:val="both"/>
              <w:rPr>
                <w:rFonts w:cs="Times New Roman"/>
                <w:sz w:val="20"/>
                <w:szCs w:val="20"/>
              </w:rPr>
            </w:pPr>
            <w:proofErr w:type="spellStart"/>
            <w:r w:rsidRPr="00D14254">
              <w:rPr>
                <w:rFonts w:cs="Times New Roman"/>
                <w:sz w:val="20"/>
                <w:szCs w:val="20"/>
              </w:rPr>
              <w:t>Musharakah</w:t>
            </w:r>
            <w:proofErr w:type="spellEnd"/>
            <w:r w:rsidRPr="00D14254">
              <w:rPr>
                <w:rFonts w:cs="Times New Roman"/>
                <w:sz w:val="20"/>
                <w:szCs w:val="20"/>
              </w:rPr>
              <w:t xml:space="preserve"> Financing</w:t>
            </w:r>
            <w:r w:rsidRPr="00D14254">
              <w:rPr>
                <w:rFonts w:cs="Times New Roman"/>
                <w:sz w:val="20"/>
                <w:szCs w:val="20"/>
              </w:rPr>
              <w:tab/>
            </w:r>
          </w:p>
          <w:p w:rsidR="00396A41" w:rsidRPr="00D14254" w:rsidRDefault="00396A41" w:rsidP="00921457">
            <w:pPr>
              <w:jc w:val="both"/>
              <w:rPr>
                <w:rFonts w:cs="Times New Roman"/>
                <w:sz w:val="20"/>
                <w:szCs w:val="20"/>
              </w:rPr>
            </w:pPr>
            <w:proofErr w:type="spellStart"/>
            <w:r w:rsidRPr="00D14254">
              <w:rPr>
                <w:rFonts w:cs="Times New Roman"/>
                <w:sz w:val="20"/>
                <w:szCs w:val="20"/>
              </w:rPr>
              <w:t>Murabaha</w:t>
            </w:r>
            <w:proofErr w:type="spellEnd"/>
            <w:r w:rsidRPr="00D14254">
              <w:rPr>
                <w:rFonts w:cs="Times New Roman"/>
                <w:sz w:val="20"/>
                <w:szCs w:val="20"/>
              </w:rPr>
              <w:t xml:space="preserve"> Financing</w:t>
            </w:r>
            <w:r w:rsidRPr="00D14254">
              <w:rPr>
                <w:rFonts w:cs="Times New Roman"/>
                <w:sz w:val="20"/>
                <w:szCs w:val="20"/>
              </w:rPr>
              <w:tab/>
            </w:r>
          </w:p>
          <w:p w:rsidR="00396A41" w:rsidRPr="00D14254" w:rsidRDefault="00396A41" w:rsidP="00921457">
            <w:pPr>
              <w:jc w:val="both"/>
              <w:rPr>
                <w:rFonts w:cs="Times New Roman"/>
                <w:sz w:val="20"/>
                <w:szCs w:val="20"/>
              </w:rPr>
            </w:pPr>
            <w:proofErr w:type="spellStart"/>
            <w:r w:rsidRPr="00D14254">
              <w:rPr>
                <w:rFonts w:cs="Times New Roman"/>
                <w:sz w:val="20"/>
                <w:szCs w:val="20"/>
              </w:rPr>
              <w:t>Ijarah</w:t>
            </w:r>
            <w:proofErr w:type="spellEnd"/>
            <w:r w:rsidRPr="00D14254">
              <w:rPr>
                <w:rFonts w:cs="Times New Roman"/>
                <w:sz w:val="20"/>
                <w:szCs w:val="20"/>
              </w:rPr>
              <w:t xml:space="preserve"> Financing</w:t>
            </w:r>
            <w:r w:rsidRPr="00D14254">
              <w:rPr>
                <w:rFonts w:cs="Times New Roman"/>
                <w:sz w:val="20"/>
                <w:szCs w:val="20"/>
              </w:rPr>
              <w:tab/>
            </w:r>
          </w:p>
          <w:p w:rsidR="00396A41" w:rsidRPr="00D14254" w:rsidRDefault="00396A41" w:rsidP="00921457">
            <w:pPr>
              <w:jc w:val="both"/>
              <w:rPr>
                <w:rFonts w:cs="Times New Roman"/>
                <w:sz w:val="20"/>
                <w:szCs w:val="20"/>
              </w:rPr>
            </w:pPr>
            <w:r w:rsidRPr="00D14254">
              <w:rPr>
                <w:rFonts w:cs="Times New Roman"/>
                <w:sz w:val="20"/>
                <w:szCs w:val="20"/>
              </w:rPr>
              <w:t>Al-</w:t>
            </w:r>
            <w:proofErr w:type="spellStart"/>
            <w:r w:rsidRPr="00D14254">
              <w:rPr>
                <w:rFonts w:cs="Times New Roman"/>
                <w:sz w:val="20"/>
                <w:szCs w:val="20"/>
              </w:rPr>
              <w:t>Qqard</w:t>
            </w:r>
            <w:proofErr w:type="spellEnd"/>
            <w:r w:rsidRPr="00D14254">
              <w:rPr>
                <w:rFonts w:cs="Times New Roman"/>
                <w:sz w:val="20"/>
                <w:szCs w:val="20"/>
              </w:rPr>
              <w:t xml:space="preserve"> Al-</w:t>
            </w:r>
            <w:proofErr w:type="spellStart"/>
            <w:r w:rsidRPr="00D14254">
              <w:rPr>
                <w:rFonts w:cs="Times New Roman"/>
                <w:sz w:val="20"/>
                <w:szCs w:val="20"/>
              </w:rPr>
              <w:t>hasan</w:t>
            </w:r>
            <w:proofErr w:type="spellEnd"/>
            <w:r w:rsidRPr="00D14254">
              <w:rPr>
                <w:rFonts w:cs="Times New Roman"/>
                <w:sz w:val="20"/>
                <w:szCs w:val="20"/>
              </w:rPr>
              <w:tab/>
            </w:r>
          </w:p>
          <w:p w:rsidR="00396A41" w:rsidRPr="00D14254" w:rsidRDefault="00396A41" w:rsidP="00921457">
            <w:pPr>
              <w:jc w:val="both"/>
              <w:rPr>
                <w:rFonts w:cs="Times New Roman"/>
                <w:sz w:val="20"/>
                <w:szCs w:val="20"/>
              </w:rPr>
            </w:pPr>
            <w:r w:rsidRPr="00D14254">
              <w:rPr>
                <w:rFonts w:cs="Times New Roman"/>
                <w:sz w:val="20"/>
                <w:szCs w:val="20"/>
              </w:rPr>
              <w:lastRenderedPageBreak/>
              <w:t>Salam Financing</w:t>
            </w:r>
          </w:p>
          <w:p w:rsidR="00396A41" w:rsidRPr="00D14254" w:rsidRDefault="00396A41" w:rsidP="00921457">
            <w:pPr>
              <w:jc w:val="both"/>
              <w:rPr>
                <w:rFonts w:cs="Times New Roman"/>
                <w:sz w:val="20"/>
                <w:szCs w:val="20"/>
              </w:rPr>
            </w:pPr>
            <w:proofErr w:type="spellStart"/>
            <w:r w:rsidRPr="00D14254">
              <w:rPr>
                <w:rFonts w:cs="Times New Roman"/>
                <w:sz w:val="20"/>
                <w:szCs w:val="20"/>
              </w:rPr>
              <w:t>Istisna’a</w:t>
            </w:r>
            <w:proofErr w:type="spellEnd"/>
            <w:r w:rsidRPr="00D14254">
              <w:rPr>
                <w:rFonts w:cs="Times New Roman"/>
                <w:sz w:val="20"/>
                <w:szCs w:val="20"/>
              </w:rPr>
              <w:t xml:space="preserve"> Financing</w:t>
            </w:r>
          </w:p>
          <w:p w:rsidR="00396A41" w:rsidRPr="00D14254" w:rsidRDefault="00396A41" w:rsidP="00921457">
            <w:pPr>
              <w:jc w:val="both"/>
              <w:rPr>
                <w:rFonts w:cs="Times New Roman"/>
                <w:sz w:val="20"/>
                <w:szCs w:val="20"/>
              </w:rPr>
            </w:pPr>
            <w:r w:rsidRPr="00D14254">
              <w:rPr>
                <w:rFonts w:cs="Times New Roman"/>
                <w:sz w:val="20"/>
                <w:szCs w:val="20"/>
              </w:rPr>
              <w:t>Other services</w:t>
            </w:r>
          </w:p>
        </w:tc>
        <w:tc>
          <w:tcPr>
            <w:tcW w:w="1061" w:type="dxa"/>
            <w:tcBorders>
              <w:top w:val="nil"/>
              <w:left w:val="nil"/>
              <w:bottom w:val="nil"/>
              <w:right w:val="nil"/>
            </w:tcBorders>
          </w:tcPr>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127</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17</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378</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11</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lastRenderedPageBreak/>
              <w:t>4</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23</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4</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94" w:type="dxa"/>
            <w:tcBorders>
              <w:top w:val="nil"/>
              <w:left w:val="nil"/>
              <w:bottom w:val="nil"/>
              <w:right w:val="nil"/>
            </w:tcBorders>
          </w:tcPr>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22.48</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3.01</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66.90</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1.95</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lastRenderedPageBreak/>
              <w:t>0.71</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4.07</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0.71</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0.18</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2125" w:type="dxa"/>
            <w:tcBorders>
              <w:top w:val="nil"/>
              <w:left w:val="nil"/>
              <w:bottom w:val="nil"/>
              <w:right w:val="nil"/>
            </w:tcBorders>
          </w:tcPr>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22.48</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25.49</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92.39</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94.34</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95.04</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lastRenderedPageBreak/>
              <w:t>99.12</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99.82</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100</w:t>
            </w:r>
          </w:p>
        </w:tc>
      </w:tr>
      <w:tr w:rsidR="00396A41" w:rsidRPr="00D14254" w:rsidTr="00D14254">
        <w:trPr>
          <w:jc w:val="center"/>
        </w:trPr>
        <w:tc>
          <w:tcPr>
            <w:cnfStyle w:val="001000000000" w:firstRow="0" w:lastRow="0" w:firstColumn="1" w:lastColumn="0" w:oddVBand="0" w:evenVBand="0" w:oddHBand="0" w:evenHBand="0" w:firstRowFirstColumn="0" w:firstRowLastColumn="0" w:lastRowFirstColumn="0" w:lastRowLastColumn="0"/>
            <w:tcW w:w="3781" w:type="dxa"/>
            <w:tcBorders>
              <w:top w:val="nil"/>
              <w:left w:val="nil"/>
              <w:bottom w:val="nil"/>
              <w:right w:val="nil"/>
            </w:tcBorders>
            <w:hideMark/>
          </w:tcPr>
          <w:p w:rsidR="00396A41" w:rsidRPr="00D14254" w:rsidRDefault="00396A41" w:rsidP="00921457">
            <w:pPr>
              <w:rPr>
                <w:rFonts w:cs="Times New Roman"/>
                <w:b/>
                <w:bCs/>
                <w:sz w:val="20"/>
                <w:szCs w:val="20"/>
              </w:rPr>
            </w:pPr>
            <w:r w:rsidRPr="00D14254">
              <w:rPr>
                <w:rFonts w:cs="Times New Roman"/>
                <w:b/>
                <w:bCs/>
                <w:sz w:val="20"/>
                <w:szCs w:val="20"/>
              </w:rPr>
              <w:lastRenderedPageBreak/>
              <w:t xml:space="preserve">Type of Non-Interest financial service provider </w:t>
            </w:r>
          </w:p>
          <w:p w:rsidR="00396A41" w:rsidRPr="00D14254" w:rsidRDefault="00396A41" w:rsidP="00921457">
            <w:pPr>
              <w:jc w:val="both"/>
              <w:rPr>
                <w:rFonts w:cs="Times New Roman"/>
                <w:sz w:val="20"/>
                <w:szCs w:val="20"/>
              </w:rPr>
            </w:pPr>
            <w:r w:rsidRPr="00D14254">
              <w:rPr>
                <w:rFonts w:cs="Times New Roman"/>
                <w:sz w:val="20"/>
                <w:szCs w:val="20"/>
              </w:rPr>
              <w:t>Full pledge Islamic bank</w:t>
            </w:r>
          </w:p>
          <w:p w:rsidR="00396A41" w:rsidRPr="00D14254" w:rsidRDefault="00396A41" w:rsidP="00921457">
            <w:pPr>
              <w:jc w:val="both"/>
              <w:rPr>
                <w:rFonts w:cs="Times New Roman"/>
                <w:sz w:val="20"/>
                <w:szCs w:val="20"/>
              </w:rPr>
            </w:pPr>
            <w:r w:rsidRPr="00D14254">
              <w:rPr>
                <w:rFonts w:cs="Times New Roman"/>
                <w:sz w:val="20"/>
                <w:szCs w:val="20"/>
              </w:rPr>
              <w:t>Conventional bank with non-interest bank window</w:t>
            </w:r>
          </w:p>
          <w:p w:rsidR="00396A41" w:rsidRPr="00D14254" w:rsidRDefault="00396A41" w:rsidP="00921457">
            <w:pPr>
              <w:jc w:val="both"/>
              <w:rPr>
                <w:rFonts w:cs="Times New Roman"/>
                <w:sz w:val="20"/>
                <w:szCs w:val="20"/>
              </w:rPr>
            </w:pPr>
            <w:r w:rsidRPr="00D14254">
              <w:rPr>
                <w:rFonts w:cs="Times New Roman"/>
                <w:sz w:val="20"/>
                <w:szCs w:val="20"/>
              </w:rPr>
              <w:t>Islamic micro finance</w:t>
            </w:r>
          </w:p>
          <w:p w:rsidR="00396A41" w:rsidRPr="00D14254" w:rsidRDefault="00396A41" w:rsidP="00921457">
            <w:pPr>
              <w:jc w:val="both"/>
              <w:rPr>
                <w:rFonts w:cs="Times New Roman"/>
                <w:sz w:val="20"/>
                <w:szCs w:val="20"/>
              </w:rPr>
            </w:pPr>
            <w:r w:rsidRPr="00D14254">
              <w:rPr>
                <w:rFonts w:cs="Times New Roman"/>
                <w:sz w:val="20"/>
                <w:szCs w:val="20"/>
              </w:rPr>
              <w:t>Islamic fund managers</w:t>
            </w:r>
          </w:p>
          <w:p w:rsidR="00396A41" w:rsidRPr="00D14254" w:rsidRDefault="00396A41" w:rsidP="00921457">
            <w:pPr>
              <w:jc w:val="both"/>
              <w:rPr>
                <w:rFonts w:cs="Times New Roman"/>
                <w:sz w:val="20"/>
                <w:szCs w:val="20"/>
              </w:rPr>
            </w:pPr>
            <w:proofErr w:type="spellStart"/>
            <w:r w:rsidRPr="00D14254">
              <w:rPr>
                <w:rFonts w:cs="Times New Roman"/>
                <w:sz w:val="20"/>
                <w:szCs w:val="20"/>
              </w:rPr>
              <w:t>Takaaful</w:t>
            </w:r>
            <w:proofErr w:type="spellEnd"/>
            <w:r w:rsidRPr="00D14254">
              <w:rPr>
                <w:rFonts w:cs="Times New Roman"/>
                <w:sz w:val="20"/>
                <w:szCs w:val="20"/>
              </w:rPr>
              <w:t xml:space="preserve"> </w:t>
            </w:r>
            <w:r w:rsidRPr="00D14254">
              <w:rPr>
                <w:rFonts w:cs="Times New Roman"/>
                <w:sz w:val="20"/>
                <w:szCs w:val="20"/>
              </w:rPr>
              <w:tab/>
            </w:r>
          </w:p>
        </w:tc>
        <w:tc>
          <w:tcPr>
            <w:tcW w:w="1061" w:type="dxa"/>
            <w:tcBorders>
              <w:top w:val="nil"/>
              <w:left w:val="nil"/>
              <w:bottom w:val="nil"/>
              <w:right w:val="nil"/>
            </w:tcBorders>
          </w:tcPr>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646</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16</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6</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0</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44</w:t>
            </w:r>
          </w:p>
        </w:tc>
        <w:tc>
          <w:tcPr>
            <w:tcW w:w="1094" w:type="dxa"/>
            <w:tcBorders>
              <w:top w:val="nil"/>
              <w:left w:val="nil"/>
              <w:bottom w:val="nil"/>
              <w:right w:val="nil"/>
            </w:tcBorders>
          </w:tcPr>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90.73</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2.25</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0.84</w:t>
            </w:r>
          </w:p>
          <w:p w:rsidR="00396A41" w:rsidRPr="00D14254" w:rsidRDefault="00396A41" w:rsidP="00921457">
            <w:pPr>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 xml:space="preserve">        0</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6.18</w:t>
            </w:r>
          </w:p>
        </w:tc>
        <w:tc>
          <w:tcPr>
            <w:tcW w:w="2125" w:type="dxa"/>
            <w:tcBorders>
              <w:top w:val="nil"/>
              <w:left w:val="nil"/>
              <w:bottom w:val="nil"/>
              <w:right w:val="nil"/>
            </w:tcBorders>
          </w:tcPr>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90.73</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92.98</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93.82</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0</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100</w:t>
            </w:r>
          </w:p>
        </w:tc>
      </w:tr>
      <w:tr w:rsidR="00396A41" w:rsidRPr="00D14254" w:rsidTr="00D14254">
        <w:trPr>
          <w:trHeight w:val="1268"/>
          <w:jc w:val="center"/>
        </w:trPr>
        <w:tc>
          <w:tcPr>
            <w:cnfStyle w:val="001000000000" w:firstRow="0" w:lastRow="0" w:firstColumn="1" w:lastColumn="0" w:oddVBand="0" w:evenVBand="0" w:oddHBand="0" w:evenHBand="0" w:firstRowFirstColumn="0" w:firstRowLastColumn="0" w:lastRowFirstColumn="0" w:lastRowLastColumn="0"/>
            <w:tcW w:w="3781" w:type="dxa"/>
            <w:tcBorders>
              <w:top w:val="nil"/>
              <w:left w:val="nil"/>
              <w:bottom w:val="single" w:sz="4" w:space="0" w:color="auto"/>
              <w:right w:val="nil"/>
            </w:tcBorders>
            <w:hideMark/>
          </w:tcPr>
          <w:p w:rsidR="00396A41" w:rsidRPr="00D14254" w:rsidRDefault="00396A41" w:rsidP="00921457">
            <w:pPr>
              <w:rPr>
                <w:rFonts w:cs="Times New Roman"/>
                <w:b/>
                <w:bCs/>
                <w:sz w:val="20"/>
                <w:szCs w:val="20"/>
              </w:rPr>
            </w:pPr>
            <w:r w:rsidRPr="00D14254">
              <w:rPr>
                <w:rFonts w:cs="Times New Roman"/>
                <w:b/>
                <w:bCs/>
                <w:sz w:val="20"/>
                <w:szCs w:val="20"/>
              </w:rPr>
              <w:t>Mode of Repayment Instalment</w:t>
            </w:r>
          </w:p>
          <w:p w:rsidR="00396A41" w:rsidRPr="00D14254" w:rsidRDefault="00396A41" w:rsidP="00921457">
            <w:pPr>
              <w:rPr>
                <w:rFonts w:cs="Times New Roman"/>
                <w:sz w:val="20"/>
                <w:szCs w:val="20"/>
              </w:rPr>
            </w:pPr>
            <w:r w:rsidRPr="00D14254">
              <w:rPr>
                <w:rFonts w:cs="Times New Roman"/>
                <w:sz w:val="20"/>
                <w:szCs w:val="20"/>
              </w:rPr>
              <w:t xml:space="preserve">Monthly </w:t>
            </w:r>
          </w:p>
          <w:p w:rsidR="00396A41" w:rsidRPr="00D14254" w:rsidRDefault="00396A41" w:rsidP="00921457">
            <w:pPr>
              <w:rPr>
                <w:rFonts w:cs="Times New Roman"/>
                <w:sz w:val="20"/>
                <w:szCs w:val="20"/>
              </w:rPr>
            </w:pPr>
            <w:r w:rsidRPr="00D14254">
              <w:rPr>
                <w:rFonts w:cs="Times New Roman"/>
                <w:sz w:val="20"/>
                <w:szCs w:val="20"/>
              </w:rPr>
              <w:t>Bimonthly</w:t>
            </w:r>
          </w:p>
          <w:p w:rsidR="00396A41" w:rsidRPr="00D14254" w:rsidRDefault="00396A41" w:rsidP="00921457">
            <w:pPr>
              <w:rPr>
                <w:rFonts w:cs="Times New Roman"/>
                <w:sz w:val="20"/>
                <w:szCs w:val="20"/>
              </w:rPr>
            </w:pPr>
            <w:r w:rsidRPr="00D14254">
              <w:rPr>
                <w:rFonts w:cs="Times New Roman"/>
                <w:sz w:val="20"/>
                <w:szCs w:val="20"/>
              </w:rPr>
              <w:t xml:space="preserve">Quarterly </w:t>
            </w:r>
          </w:p>
          <w:p w:rsidR="00396A41" w:rsidRPr="00D14254" w:rsidRDefault="00396A41" w:rsidP="00921457">
            <w:pPr>
              <w:rPr>
                <w:rFonts w:cs="Times New Roman"/>
                <w:sz w:val="20"/>
                <w:szCs w:val="20"/>
              </w:rPr>
            </w:pPr>
            <w:r w:rsidRPr="00D14254">
              <w:rPr>
                <w:rFonts w:cs="Times New Roman"/>
                <w:sz w:val="20"/>
                <w:szCs w:val="20"/>
              </w:rPr>
              <w:t>Semi-annually</w:t>
            </w:r>
          </w:p>
          <w:p w:rsidR="00396A41" w:rsidRPr="00D14254" w:rsidRDefault="00396A41" w:rsidP="00921457">
            <w:pPr>
              <w:rPr>
                <w:rFonts w:cs="Times New Roman"/>
                <w:sz w:val="20"/>
                <w:szCs w:val="20"/>
              </w:rPr>
            </w:pPr>
            <w:r w:rsidRPr="00D14254">
              <w:rPr>
                <w:rFonts w:cs="Times New Roman"/>
                <w:sz w:val="20"/>
                <w:szCs w:val="20"/>
              </w:rPr>
              <w:t>Annually</w:t>
            </w:r>
          </w:p>
          <w:p w:rsidR="00396A41" w:rsidRPr="00D14254" w:rsidRDefault="00396A41" w:rsidP="00921457">
            <w:pPr>
              <w:rPr>
                <w:rFonts w:cs="Times New Roman"/>
                <w:sz w:val="20"/>
                <w:szCs w:val="20"/>
              </w:rPr>
            </w:pPr>
            <w:r w:rsidRPr="00D14254">
              <w:rPr>
                <w:rFonts w:cs="Times New Roman"/>
                <w:sz w:val="20"/>
                <w:szCs w:val="20"/>
              </w:rPr>
              <w:t>Others</w:t>
            </w:r>
          </w:p>
        </w:tc>
        <w:tc>
          <w:tcPr>
            <w:tcW w:w="1061" w:type="dxa"/>
            <w:tcBorders>
              <w:top w:val="nil"/>
              <w:left w:val="nil"/>
              <w:bottom w:val="single" w:sz="4" w:space="0" w:color="auto"/>
              <w:right w:val="nil"/>
            </w:tcBorders>
          </w:tcPr>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337</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7</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49</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14</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32</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86</w:t>
            </w:r>
          </w:p>
        </w:tc>
        <w:tc>
          <w:tcPr>
            <w:tcW w:w="1094" w:type="dxa"/>
            <w:tcBorders>
              <w:top w:val="nil"/>
              <w:left w:val="nil"/>
              <w:bottom w:val="single" w:sz="4" w:space="0" w:color="auto"/>
              <w:right w:val="nil"/>
            </w:tcBorders>
          </w:tcPr>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64.19</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1.33</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9.33</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2.67</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 xml:space="preserve">  6.10</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16.38</w:t>
            </w:r>
          </w:p>
        </w:tc>
        <w:tc>
          <w:tcPr>
            <w:tcW w:w="2125" w:type="dxa"/>
            <w:tcBorders>
              <w:top w:val="nil"/>
              <w:left w:val="nil"/>
              <w:bottom w:val="single" w:sz="4" w:space="0" w:color="auto"/>
              <w:right w:val="nil"/>
            </w:tcBorders>
          </w:tcPr>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64.19</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65.52</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74.86</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77.52</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83.62</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100</w:t>
            </w:r>
          </w:p>
        </w:tc>
      </w:tr>
    </w:tbl>
    <w:p w:rsidR="00396A41" w:rsidRPr="00FA0E55" w:rsidRDefault="00396A41" w:rsidP="00396A41">
      <w:pPr>
        <w:rPr>
          <w:sz w:val="18"/>
          <w:lang w:val="en-GB"/>
        </w:rPr>
      </w:pPr>
      <w:r w:rsidRPr="00FA0E55">
        <w:rPr>
          <w:rFonts w:asciiTheme="majorBidi" w:hAnsiTheme="majorBidi" w:cstheme="majorBidi"/>
          <w:sz w:val="22"/>
          <w:szCs w:val="24"/>
          <w:lang w:val="en-GB"/>
        </w:rPr>
        <w:t xml:space="preserve">  </w:t>
      </w:r>
      <w:r w:rsidRPr="00FA0E55">
        <w:rPr>
          <w:sz w:val="18"/>
          <w:lang w:val="en-GB"/>
        </w:rPr>
        <w:t>Source: Authors (2024)</w:t>
      </w:r>
    </w:p>
    <w:p w:rsidR="00D14254" w:rsidRDefault="00D14254" w:rsidP="00396A41">
      <w:pPr>
        <w:jc w:val="both"/>
        <w:rPr>
          <w:lang w:val="en-GB"/>
        </w:rPr>
      </w:pPr>
    </w:p>
    <w:p w:rsidR="00396A41" w:rsidRPr="00D14254" w:rsidRDefault="00396A41" w:rsidP="00396A41">
      <w:pPr>
        <w:jc w:val="both"/>
        <w:rPr>
          <w:lang w:val="en-GB"/>
        </w:rPr>
      </w:pPr>
      <w:r w:rsidRPr="00D14254">
        <w:rPr>
          <w:lang w:val="en-GB"/>
        </w:rPr>
        <w:t xml:space="preserve">Table 2 indicates the frequency distribution analysis of non interest financial services and inclusion in the study area. The Table indicates that the majority of the respondents (75 percent) claimed that they don’t have any investment with any non interest financial institution. Hence they are totally clients of these institutions and this is in line with a priori expectation as most of the people in the region are poor, they fighting for daily survival and therefore cannot have extra resources for investment in the mentioned financial institutions. In the same vein about 83 percent of the respondents claimed that they have difficulty in accessing non interest financial service such as </w:t>
      </w:r>
      <w:proofErr w:type="spellStart"/>
      <w:r w:rsidRPr="00D14254">
        <w:rPr>
          <w:lang w:val="en-GB"/>
        </w:rPr>
        <w:t>Mudarabah</w:t>
      </w:r>
      <w:proofErr w:type="spellEnd"/>
      <w:r w:rsidRPr="00D14254">
        <w:rPr>
          <w:lang w:val="en-GB"/>
        </w:rPr>
        <w:t xml:space="preserve"> and the likes and therefore, they are mere account holders in these non interest financial institutions. This is expected as most of the people living in the region are extremely poor and therefore cannot scale through the risk assessment of these financial institutions so that they easily provide such non interest financial services to such people. However, of those that claimed to enjoy a non interest financing service, most of the claimed to received </w:t>
      </w:r>
      <w:proofErr w:type="spellStart"/>
      <w:r w:rsidRPr="00D14254">
        <w:rPr>
          <w:lang w:val="en-GB"/>
        </w:rPr>
        <w:t>Murabah</w:t>
      </w:r>
      <w:proofErr w:type="spellEnd"/>
      <w:r w:rsidRPr="00D14254">
        <w:rPr>
          <w:lang w:val="en-GB"/>
        </w:rPr>
        <w:t xml:space="preserve"> financing service based on cost plus </w:t>
      </w:r>
      <w:proofErr w:type="spellStart"/>
      <w:r w:rsidRPr="00D14254">
        <w:rPr>
          <w:lang w:val="en-GB"/>
        </w:rPr>
        <w:t>mark up</w:t>
      </w:r>
      <w:proofErr w:type="spellEnd"/>
      <w:r w:rsidRPr="00D14254">
        <w:rPr>
          <w:lang w:val="en-GB"/>
        </w:rPr>
        <w:t xml:space="preserve"> method in which they payback in a monthly instalments. Similarly, 96 percent of the respondents claimed that they have either savings or current account with such financial institutions. Only less than 4 percent claimed to have investment accounts in the form of either </w:t>
      </w:r>
      <w:proofErr w:type="spellStart"/>
      <w:r w:rsidRPr="00D14254">
        <w:rPr>
          <w:lang w:val="en-GB"/>
        </w:rPr>
        <w:t>Mudarabah</w:t>
      </w:r>
      <w:proofErr w:type="spellEnd"/>
      <w:r w:rsidRPr="00D14254">
        <w:rPr>
          <w:lang w:val="en-GB"/>
        </w:rPr>
        <w:t xml:space="preserve"> or </w:t>
      </w:r>
      <w:proofErr w:type="spellStart"/>
      <w:r w:rsidRPr="00D14254">
        <w:rPr>
          <w:lang w:val="en-GB"/>
        </w:rPr>
        <w:t>Wakala</w:t>
      </w:r>
      <w:proofErr w:type="spellEnd"/>
      <w:r w:rsidRPr="00D14254">
        <w:rPr>
          <w:lang w:val="en-GB"/>
        </w:rPr>
        <w:t xml:space="preserve"> Investment accounts.   </w:t>
      </w:r>
    </w:p>
    <w:p w:rsidR="00396A41" w:rsidRDefault="00396A41" w:rsidP="00396A41">
      <w:pPr>
        <w:rPr>
          <w:lang w:val="en-GB"/>
        </w:rPr>
      </w:pPr>
    </w:p>
    <w:p w:rsidR="00D14254" w:rsidRPr="00D14254" w:rsidRDefault="00D14254" w:rsidP="00396A41">
      <w:pPr>
        <w:rPr>
          <w:lang w:val="en-GB"/>
        </w:rPr>
      </w:pPr>
    </w:p>
    <w:p w:rsidR="00396A41" w:rsidRPr="00FA0E55" w:rsidRDefault="00396A41" w:rsidP="00396A41">
      <w:pPr>
        <w:rPr>
          <w:sz w:val="18"/>
          <w:lang w:val="en-GB"/>
        </w:rPr>
      </w:pPr>
      <w:r w:rsidRPr="00FA0E55">
        <w:rPr>
          <w:sz w:val="18"/>
          <w:lang w:val="en-GB"/>
        </w:rPr>
        <w:t xml:space="preserve">     Table 3: Livelihood strategies</w:t>
      </w:r>
    </w:p>
    <w:tbl>
      <w:tblPr>
        <w:tblStyle w:val="TableGrid"/>
        <w:tblW w:w="8171" w:type="dxa"/>
        <w:jc w:val="center"/>
        <w:tblInd w:w="716" w:type="dxa"/>
        <w:tblBorders>
          <w:top w:val="single" w:sz="4" w:space="0" w:color="auto"/>
        </w:tblBorders>
        <w:tblLook w:val="04A0" w:firstRow="1" w:lastRow="0" w:firstColumn="1" w:lastColumn="0" w:noHBand="0" w:noVBand="1"/>
      </w:tblPr>
      <w:tblGrid>
        <w:gridCol w:w="3740"/>
        <w:gridCol w:w="1061"/>
        <w:gridCol w:w="1094"/>
        <w:gridCol w:w="2276"/>
      </w:tblGrid>
      <w:tr w:rsidR="00396A41" w:rsidRPr="00D14254" w:rsidTr="00D14254">
        <w:trPr>
          <w:cnfStyle w:val="100000000000" w:firstRow="1" w:lastRow="0" w:firstColumn="0" w:lastColumn="0" w:oddVBand="0" w:evenVBand="0" w:oddHBand="0" w:evenHBand="0" w:firstRowFirstColumn="0" w:firstRowLastColumn="0" w:lastRowFirstColumn="0" w:lastRowLastColumn="0"/>
          <w:trHeight w:val="258"/>
          <w:jc w:val="center"/>
        </w:trPr>
        <w:tc>
          <w:tcPr>
            <w:cnfStyle w:val="001000000000" w:firstRow="0" w:lastRow="0" w:firstColumn="1" w:lastColumn="0" w:oddVBand="0" w:evenVBand="0" w:oddHBand="0" w:evenHBand="0" w:firstRowFirstColumn="0" w:firstRowLastColumn="0" w:lastRowFirstColumn="0" w:lastRowLastColumn="0"/>
            <w:tcW w:w="3740" w:type="dxa"/>
            <w:hideMark/>
          </w:tcPr>
          <w:p w:rsidR="00396A41" w:rsidRPr="00D14254" w:rsidRDefault="00396A41" w:rsidP="00921457">
            <w:pPr>
              <w:rPr>
                <w:b w:val="0"/>
                <w:bCs/>
                <w:sz w:val="20"/>
                <w:szCs w:val="20"/>
              </w:rPr>
            </w:pPr>
            <w:r w:rsidRPr="00D14254">
              <w:rPr>
                <w:b w:val="0"/>
                <w:bCs/>
                <w:sz w:val="20"/>
                <w:szCs w:val="20"/>
              </w:rPr>
              <w:t>Characteristics</w:t>
            </w:r>
          </w:p>
        </w:tc>
        <w:tc>
          <w:tcPr>
            <w:tcW w:w="1061" w:type="dxa"/>
            <w:hideMark/>
          </w:tcPr>
          <w:p w:rsidR="00396A41" w:rsidRPr="00D14254" w:rsidRDefault="00396A41" w:rsidP="00921457">
            <w:pPr>
              <w:cnfStyle w:val="100000000000" w:firstRow="1" w:lastRow="0" w:firstColumn="0" w:lastColumn="0" w:oddVBand="0" w:evenVBand="0" w:oddHBand="0" w:evenHBand="0" w:firstRowFirstColumn="0" w:firstRowLastColumn="0" w:lastRowFirstColumn="0" w:lastRowLastColumn="0"/>
              <w:rPr>
                <w:b w:val="0"/>
                <w:bCs/>
                <w:sz w:val="20"/>
                <w:szCs w:val="20"/>
              </w:rPr>
            </w:pPr>
            <w:r w:rsidRPr="00D14254">
              <w:rPr>
                <w:b w:val="0"/>
                <w:bCs/>
                <w:sz w:val="20"/>
                <w:szCs w:val="20"/>
              </w:rPr>
              <w:t>Frequency</w:t>
            </w:r>
          </w:p>
        </w:tc>
        <w:tc>
          <w:tcPr>
            <w:tcW w:w="1094" w:type="dxa"/>
            <w:hideMark/>
          </w:tcPr>
          <w:p w:rsidR="00396A41" w:rsidRPr="00D14254" w:rsidRDefault="00396A41" w:rsidP="00921457">
            <w:pPr>
              <w:cnfStyle w:val="100000000000" w:firstRow="1" w:lastRow="0" w:firstColumn="0" w:lastColumn="0" w:oddVBand="0" w:evenVBand="0" w:oddHBand="0" w:evenHBand="0" w:firstRowFirstColumn="0" w:firstRowLastColumn="0" w:lastRowFirstColumn="0" w:lastRowLastColumn="0"/>
              <w:rPr>
                <w:b w:val="0"/>
                <w:bCs/>
                <w:sz w:val="20"/>
                <w:szCs w:val="20"/>
              </w:rPr>
            </w:pPr>
            <w:r w:rsidRPr="00D14254">
              <w:rPr>
                <w:b w:val="0"/>
                <w:bCs/>
                <w:sz w:val="20"/>
                <w:szCs w:val="20"/>
              </w:rPr>
              <w:t>Percentage</w:t>
            </w:r>
          </w:p>
        </w:tc>
        <w:tc>
          <w:tcPr>
            <w:tcW w:w="2276" w:type="dxa"/>
            <w:hideMark/>
          </w:tcPr>
          <w:p w:rsidR="00396A41" w:rsidRPr="00D14254" w:rsidRDefault="00396A41" w:rsidP="00921457">
            <w:pPr>
              <w:cnfStyle w:val="100000000000" w:firstRow="1" w:lastRow="0" w:firstColumn="0" w:lastColumn="0" w:oddVBand="0" w:evenVBand="0" w:oddHBand="0" w:evenHBand="0" w:firstRowFirstColumn="0" w:firstRowLastColumn="0" w:lastRowFirstColumn="0" w:lastRowLastColumn="0"/>
              <w:rPr>
                <w:b w:val="0"/>
                <w:bCs/>
                <w:sz w:val="20"/>
                <w:szCs w:val="20"/>
              </w:rPr>
            </w:pPr>
            <w:r w:rsidRPr="00D14254">
              <w:rPr>
                <w:b w:val="0"/>
                <w:bCs/>
                <w:sz w:val="20"/>
                <w:szCs w:val="20"/>
              </w:rPr>
              <w:t>Cumulative Percentage</w:t>
            </w:r>
          </w:p>
        </w:tc>
      </w:tr>
      <w:tr w:rsidR="00396A41" w:rsidRPr="00D14254" w:rsidTr="00D14254">
        <w:trPr>
          <w:trHeight w:val="681"/>
          <w:jc w:val="center"/>
        </w:trPr>
        <w:tc>
          <w:tcPr>
            <w:cnfStyle w:val="001000000000" w:firstRow="0" w:lastRow="0" w:firstColumn="1" w:lastColumn="0" w:oddVBand="0" w:evenVBand="0" w:oddHBand="0" w:evenHBand="0" w:firstRowFirstColumn="0" w:firstRowLastColumn="0" w:lastRowFirstColumn="0" w:lastRowLastColumn="0"/>
            <w:tcW w:w="3740" w:type="dxa"/>
            <w:tcBorders>
              <w:top w:val="single" w:sz="4" w:space="0" w:color="auto"/>
              <w:left w:val="nil"/>
              <w:bottom w:val="nil"/>
              <w:right w:val="nil"/>
            </w:tcBorders>
            <w:hideMark/>
          </w:tcPr>
          <w:p w:rsidR="00396A41" w:rsidRPr="00D14254" w:rsidRDefault="00396A41" w:rsidP="00921457">
            <w:pPr>
              <w:rPr>
                <w:rFonts w:cs="Times New Roman"/>
                <w:b/>
                <w:bCs/>
                <w:sz w:val="20"/>
                <w:szCs w:val="20"/>
              </w:rPr>
            </w:pPr>
            <w:r w:rsidRPr="00D14254">
              <w:rPr>
                <w:rFonts w:cs="Times New Roman"/>
                <w:b/>
                <w:bCs/>
                <w:sz w:val="20"/>
                <w:szCs w:val="20"/>
              </w:rPr>
              <w:t xml:space="preserve">Membership in cooperative society </w:t>
            </w:r>
          </w:p>
          <w:p w:rsidR="00396A41" w:rsidRPr="00D14254" w:rsidRDefault="00396A41" w:rsidP="00921457">
            <w:pPr>
              <w:rPr>
                <w:rFonts w:cs="Times New Roman"/>
                <w:sz w:val="20"/>
                <w:szCs w:val="20"/>
              </w:rPr>
            </w:pPr>
            <w:r w:rsidRPr="00D14254">
              <w:rPr>
                <w:rFonts w:cs="Times New Roman"/>
                <w:sz w:val="20"/>
                <w:szCs w:val="20"/>
              </w:rPr>
              <w:t xml:space="preserve">Yes </w:t>
            </w:r>
          </w:p>
          <w:p w:rsidR="00396A41" w:rsidRPr="00D14254" w:rsidRDefault="00396A41" w:rsidP="00921457">
            <w:pPr>
              <w:rPr>
                <w:rFonts w:cs="Times New Roman"/>
                <w:sz w:val="20"/>
                <w:szCs w:val="20"/>
              </w:rPr>
            </w:pPr>
            <w:r w:rsidRPr="00D14254">
              <w:rPr>
                <w:rFonts w:cs="Times New Roman"/>
                <w:sz w:val="20"/>
                <w:szCs w:val="20"/>
              </w:rPr>
              <w:t>No</w:t>
            </w:r>
          </w:p>
        </w:tc>
        <w:tc>
          <w:tcPr>
            <w:tcW w:w="1061" w:type="dxa"/>
            <w:tcBorders>
              <w:top w:val="single" w:sz="4" w:space="0" w:color="auto"/>
              <w:left w:val="nil"/>
              <w:bottom w:val="nil"/>
              <w:right w:val="nil"/>
            </w:tcBorders>
          </w:tcPr>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249</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340</w:t>
            </w:r>
          </w:p>
        </w:tc>
        <w:tc>
          <w:tcPr>
            <w:tcW w:w="1094" w:type="dxa"/>
            <w:tcBorders>
              <w:top w:val="single" w:sz="4" w:space="0" w:color="auto"/>
              <w:left w:val="nil"/>
              <w:bottom w:val="nil"/>
              <w:right w:val="nil"/>
            </w:tcBorders>
          </w:tcPr>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42.28</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57.72</w:t>
            </w:r>
          </w:p>
        </w:tc>
        <w:tc>
          <w:tcPr>
            <w:tcW w:w="2276" w:type="dxa"/>
            <w:tcBorders>
              <w:top w:val="single" w:sz="4" w:space="0" w:color="auto"/>
              <w:left w:val="nil"/>
              <w:bottom w:val="nil"/>
              <w:right w:val="nil"/>
            </w:tcBorders>
          </w:tcPr>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42.28</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100</w:t>
            </w:r>
          </w:p>
        </w:tc>
      </w:tr>
      <w:tr w:rsidR="00396A41" w:rsidRPr="00D14254" w:rsidTr="00D14254">
        <w:trPr>
          <w:trHeight w:val="1363"/>
          <w:jc w:val="center"/>
        </w:trPr>
        <w:tc>
          <w:tcPr>
            <w:cnfStyle w:val="001000000000" w:firstRow="0" w:lastRow="0" w:firstColumn="1" w:lastColumn="0" w:oddVBand="0" w:evenVBand="0" w:oddHBand="0" w:evenHBand="0" w:firstRowFirstColumn="0" w:firstRowLastColumn="0" w:lastRowFirstColumn="0" w:lastRowLastColumn="0"/>
            <w:tcW w:w="3740" w:type="dxa"/>
            <w:tcBorders>
              <w:top w:val="nil"/>
              <w:left w:val="nil"/>
              <w:bottom w:val="nil"/>
              <w:right w:val="nil"/>
            </w:tcBorders>
            <w:hideMark/>
          </w:tcPr>
          <w:p w:rsidR="00396A41" w:rsidRPr="00D14254" w:rsidRDefault="00396A41" w:rsidP="00921457">
            <w:pPr>
              <w:rPr>
                <w:rFonts w:cs="Times New Roman"/>
                <w:b/>
                <w:bCs/>
                <w:sz w:val="20"/>
                <w:szCs w:val="20"/>
              </w:rPr>
            </w:pPr>
            <w:r w:rsidRPr="00D14254">
              <w:rPr>
                <w:rFonts w:cs="Times New Roman"/>
                <w:b/>
                <w:bCs/>
                <w:sz w:val="20"/>
                <w:szCs w:val="20"/>
              </w:rPr>
              <w:t>Increase in income due to NI-Facility</w:t>
            </w:r>
          </w:p>
          <w:p w:rsidR="00396A41" w:rsidRPr="00D14254" w:rsidRDefault="00396A41" w:rsidP="00921457">
            <w:pPr>
              <w:rPr>
                <w:rFonts w:cs="Times New Roman"/>
                <w:sz w:val="20"/>
                <w:szCs w:val="20"/>
              </w:rPr>
            </w:pPr>
            <w:r w:rsidRPr="00D14254">
              <w:rPr>
                <w:rFonts w:cs="Times New Roman"/>
                <w:sz w:val="20"/>
                <w:szCs w:val="20"/>
              </w:rPr>
              <w:t>Strongly Agree</w:t>
            </w:r>
          </w:p>
          <w:p w:rsidR="00396A41" w:rsidRPr="00D14254" w:rsidRDefault="00396A41" w:rsidP="00921457">
            <w:pPr>
              <w:rPr>
                <w:rFonts w:cs="Times New Roman"/>
                <w:sz w:val="20"/>
                <w:szCs w:val="20"/>
              </w:rPr>
            </w:pPr>
            <w:r w:rsidRPr="00D14254">
              <w:rPr>
                <w:rFonts w:cs="Times New Roman"/>
                <w:sz w:val="20"/>
                <w:szCs w:val="20"/>
              </w:rPr>
              <w:t xml:space="preserve">Agree </w:t>
            </w:r>
          </w:p>
          <w:p w:rsidR="00396A41" w:rsidRPr="00D14254" w:rsidRDefault="00396A41" w:rsidP="00921457">
            <w:pPr>
              <w:rPr>
                <w:rFonts w:cs="Times New Roman"/>
                <w:sz w:val="20"/>
                <w:szCs w:val="20"/>
              </w:rPr>
            </w:pPr>
            <w:r w:rsidRPr="00D14254">
              <w:rPr>
                <w:rFonts w:cs="Times New Roman"/>
                <w:sz w:val="20"/>
                <w:szCs w:val="20"/>
              </w:rPr>
              <w:t xml:space="preserve">Neutral </w:t>
            </w:r>
          </w:p>
          <w:p w:rsidR="00396A41" w:rsidRPr="00D14254" w:rsidRDefault="00396A41" w:rsidP="00921457">
            <w:pPr>
              <w:rPr>
                <w:rFonts w:cs="Times New Roman"/>
                <w:sz w:val="20"/>
                <w:szCs w:val="20"/>
              </w:rPr>
            </w:pPr>
            <w:r w:rsidRPr="00D14254">
              <w:rPr>
                <w:rFonts w:cs="Times New Roman"/>
                <w:sz w:val="20"/>
                <w:szCs w:val="20"/>
              </w:rPr>
              <w:t>Disagree</w:t>
            </w:r>
          </w:p>
          <w:p w:rsidR="00396A41" w:rsidRPr="00D14254" w:rsidRDefault="00396A41" w:rsidP="00921457">
            <w:pPr>
              <w:rPr>
                <w:rFonts w:cs="Times New Roman"/>
                <w:sz w:val="20"/>
                <w:szCs w:val="20"/>
              </w:rPr>
            </w:pPr>
            <w:r w:rsidRPr="00D14254">
              <w:rPr>
                <w:rFonts w:cs="Times New Roman"/>
                <w:sz w:val="20"/>
                <w:szCs w:val="20"/>
              </w:rPr>
              <w:t>Strongly Disagree</w:t>
            </w:r>
          </w:p>
        </w:tc>
        <w:tc>
          <w:tcPr>
            <w:tcW w:w="1061" w:type="dxa"/>
            <w:tcBorders>
              <w:top w:val="nil"/>
              <w:left w:val="nil"/>
              <w:bottom w:val="nil"/>
              <w:right w:val="nil"/>
            </w:tcBorders>
          </w:tcPr>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14</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62</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108</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199</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243</w:t>
            </w:r>
          </w:p>
        </w:tc>
        <w:tc>
          <w:tcPr>
            <w:tcW w:w="1094" w:type="dxa"/>
            <w:tcBorders>
              <w:top w:val="nil"/>
              <w:left w:val="nil"/>
              <w:bottom w:val="nil"/>
              <w:right w:val="nil"/>
            </w:tcBorders>
          </w:tcPr>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2.24</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9.90</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17.25</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31.79</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38.82</w:t>
            </w:r>
          </w:p>
        </w:tc>
        <w:tc>
          <w:tcPr>
            <w:tcW w:w="2276" w:type="dxa"/>
            <w:tcBorders>
              <w:top w:val="nil"/>
              <w:left w:val="nil"/>
              <w:bottom w:val="nil"/>
              <w:right w:val="nil"/>
            </w:tcBorders>
          </w:tcPr>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2.24</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12.14</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29.39</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61.18</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100</w:t>
            </w:r>
          </w:p>
        </w:tc>
      </w:tr>
      <w:tr w:rsidR="00396A41" w:rsidRPr="00D14254" w:rsidTr="00D14254">
        <w:trPr>
          <w:trHeight w:val="1585"/>
          <w:jc w:val="center"/>
        </w:trPr>
        <w:tc>
          <w:tcPr>
            <w:cnfStyle w:val="001000000000" w:firstRow="0" w:lastRow="0" w:firstColumn="1" w:lastColumn="0" w:oddVBand="0" w:evenVBand="0" w:oddHBand="0" w:evenHBand="0" w:firstRowFirstColumn="0" w:firstRowLastColumn="0" w:lastRowFirstColumn="0" w:lastRowLastColumn="0"/>
            <w:tcW w:w="3740" w:type="dxa"/>
            <w:tcBorders>
              <w:top w:val="nil"/>
              <w:left w:val="nil"/>
              <w:bottom w:val="nil"/>
              <w:right w:val="nil"/>
            </w:tcBorders>
            <w:hideMark/>
          </w:tcPr>
          <w:p w:rsidR="00396A41" w:rsidRPr="00D14254" w:rsidRDefault="00396A41" w:rsidP="00921457">
            <w:pPr>
              <w:rPr>
                <w:rFonts w:cs="Times New Roman"/>
                <w:b/>
                <w:bCs/>
                <w:sz w:val="20"/>
                <w:szCs w:val="20"/>
              </w:rPr>
            </w:pPr>
            <w:r w:rsidRPr="00D14254">
              <w:rPr>
                <w:rFonts w:cs="Times New Roman"/>
                <w:b/>
                <w:bCs/>
                <w:sz w:val="20"/>
                <w:szCs w:val="20"/>
              </w:rPr>
              <w:t>Consumption enhancement due to NI- Financial Institutions</w:t>
            </w:r>
          </w:p>
          <w:p w:rsidR="00396A41" w:rsidRPr="00D14254" w:rsidRDefault="00396A41" w:rsidP="00921457">
            <w:pPr>
              <w:rPr>
                <w:rFonts w:cs="Times New Roman"/>
                <w:sz w:val="20"/>
                <w:szCs w:val="20"/>
              </w:rPr>
            </w:pPr>
            <w:r w:rsidRPr="00D14254">
              <w:rPr>
                <w:rFonts w:cs="Times New Roman"/>
                <w:sz w:val="20"/>
                <w:szCs w:val="20"/>
              </w:rPr>
              <w:t>Strongly Agree</w:t>
            </w:r>
          </w:p>
          <w:p w:rsidR="00396A41" w:rsidRPr="00D14254" w:rsidRDefault="00396A41" w:rsidP="00921457">
            <w:pPr>
              <w:rPr>
                <w:rFonts w:cs="Times New Roman"/>
                <w:sz w:val="20"/>
                <w:szCs w:val="20"/>
              </w:rPr>
            </w:pPr>
            <w:r w:rsidRPr="00D14254">
              <w:rPr>
                <w:rFonts w:cs="Times New Roman"/>
                <w:sz w:val="20"/>
                <w:szCs w:val="20"/>
              </w:rPr>
              <w:t xml:space="preserve">Agree                                                   </w:t>
            </w:r>
          </w:p>
          <w:p w:rsidR="00396A41" w:rsidRPr="00D14254" w:rsidRDefault="00396A41" w:rsidP="00921457">
            <w:pPr>
              <w:rPr>
                <w:rFonts w:cs="Times New Roman"/>
                <w:sz w:val="20"/>
                <w:szCs w:val="20"/>
              </w:rPr>
            </w:pPr>
            <w:r w:rsidRPr="00D14254">
              <w:rPr>
                <w:rFonts w:cs="Times New Roman"/>
                <w:sz w:val="20"/>
                <w:szCs w:val="20"/>
              </w:rPr>
              <w:t xml:space="preserve">Neutral </w:t>
            </w:r>
          </w:p>
          <w:p w:rsidR="00396A41" w:rsidRPr="00D14254" w:rsidRDefault="00396A41" w:rsidP="00921457">
            <w:pPr>
              <w:rPr>
                <w:rFonts w:cs="Times New Roman"/>
                <w:sz w:val="20"/>
                <w:szCs w:val="20"/>
              </w:rPr>
            </w:pPr>
            <w:r w:rsidRPr="00D14254">
              <w:rPr>
                <w:rFonts w:cs="Times New Roman"/>
                <w:sz w:val="20"/>
                <w:szCs w:val="20"/>
              </w:rPr>
              <w:t>Disagree</w:t>
            </w:r>
          </w:p>
          <w:p w:rsidR="00396A41" w:rsidRPr="00D14254" w:rsidRDefault="00396A41" w:rsidP="00921457">
            <w:pPr>
              <w:rPr>
                <w:rFonts w:cs="Times New Roman"/>
                <w:sz w:val="20"/>
                <w:szCs w:val="20"/>
              </w:rPr>
            </w:pPr>
            <w:r w:rsidRPr="00D14254">
              <w:rPr>
                <w:rFonts w:cs="Times New Roman"/>
                <w:sz w:val="20"/>
                <w:szCs w:val="20"/>
              </w:rPr>
              <w:t xml:space="preserve">Strongly Disagree </w:t>
            </w:r>
          </w:p>
        </w:tc>
        <w:tc>
          <w:tcPr>
            <w:tcW w:w="1061" w:type="dxa"/>
            <w:tcBorders>
              <w:top w:val="nil"/>
              <w:left w:val="nil"/>
              <w:bottom w:val="nil"/>
              <w:right w:val="nil"/>
            </w:tcBorders>
          </w:tcPr>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4</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62</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141</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242</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198</w:t>
            </w:r>
          </w:p>
        </w:tc>
        <w:tc>
          <w:tcPr>
            <w:tcW w:w="1094" w:type="dxa"/>
            <w:tcBorders>
              <w:top w:val="nil"/>
              <w:left w:val="nil"/>
              <w:bottom w:val="nil"/>
              <w:right w:val="nil"/>
            </w:tcBorders>
          </w:tcPr>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0.62</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9.58</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21.79</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37.40</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30.60</w:t>
            </w:r>
          </w:p>
        </w:tc>
        <w:tc>
          <w:tcPr>
            <w:tcW w:w="2276" w:type="dxa"/>
            <w:tcBorders>
              <w:top w:val="nil"/>
              <w:left w:val="nil"/>
              <w:bottom w:val="nil"/>
              <w:right w:val="nil"/>
            </w:tcBorders>
          </w:tcPr>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0.62</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10.20</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31.99</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69.40</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100</w:t>
            </w:r>
          </w:p>
        </w:tc>
      </w:tr>
      <w:tr w:rsidR="00396A41" w:rsidRPr="00D14254" w:rsidTr="00D14254">
        <w:trPr>
          <w:trHeight w:val="1519"/>
          <w:jc w:val="center"/>
        </w:trPr>
        <w:tc>
          <w:tcPr>
            <w:cnfStyle w:val="001000000000" w:firstRow="0" w:lastRow="0" w:firstColumn="1" w:lastColumn="0" w:oddVBand="0" w:evenVBand="0" w:oddHBand="0" w:evenHBand="0" w:firstRowFirstColumn="0" w:firstRowLastColumn="0" w:lastRowFirstColumn="0" w:lastRowLastColumn="0"/>
            <w:tcW w:w="3740" w:type="dxa"/>
            <w:tcBorders>
              <w:top w:val="nil"/>
              <w:left w:val="nil"/>
              <w:bottom w:val="nil"/>
              <w:right w:val="nil"/>
            </w:tcBorders>
            <w:hideMark/>
          </w:tcPr>
          <w:p w:rsidR="00396A41" w:rsidRPr="00D14254" w:rsidRDefault="00396A41" w:rsidP="00921457">
            <w:pPr>
              <w:rPr>
                <w:rFonts w:cs="Times New Roman"/>
                <w:b/>
                <w:bCs/>
                <w:sz w:val="20"/>
                <w:szCs w:val="20"/>
              </w:rPr>
            </w:pPr>
            <w:r w:rsidRPr="00D14254">
              <w:rPr>
                <w:rFonts w:cs="Times New Roman"/>
                <w:b/>
                <w:bCs/>
                <w:sz w:val="20"/>
                <w:szCs w:val="20"/>
              </w:rPr>
              <w:lastRenderedPageBreak/>
              <w:t xml:space="preserve">Number of Assets owned before NI facility </w:t>
            </w:r>
          </w:p>
          <w:p w:rsidR="00396A41" w:rsidRPr="00D14254" w:rsidRDefault="00396A41" w:rsidP="00921457">
            <w:pPr>
              <w:rPr>
                <w:rFonts w:cs="Times New Roman"/>
                <w:sz w:val="20"/>
                <w:szCs w:val="20"/>
              </w:rPr>
            </w:pPr>
            <w:r w:rsidRPr="00D14254">
              <w:rPr>
                <w:rFonts w:cs="Times New Roman"/>
                <w:sz w:val="20"/>
                <w:szCs w:val="20"/>
              </w:rPr>
              <w:t xml:space="preserve">25 and below </w:t>
            </w:r>
          </w:p>
          <w:p w:rsidR="00396A41" w:rsidRPr="00D14254" w:rsidRDefault="00396A41" w:rsidP="00921457">
            <w:pPr>
              <w:rPr>
                <w:rFonts w:cs="Times New Roman"/>
                <w:sz w:val="20"/>
                <w:szCs w:val="20"/>
              </w:rPr>
            </w:pPr>
            <w:r w:rsidRPr="00D14254">
              <w:rPr>
                <w:rFonts w:cs="Times New Roman"/>
                <w:sz w:val="20"/>
                <w:szCs w:val="20"/>
              </w:rPr>
              <w:t xml:space="preserve">26 - 50 </w:t>
            </w:r>
          </w:p>
          <w:p w:rsidR="00396A41" w:rsidRPr="00D14254" w:rsidRDefault="00396A41" w:rsidP="00921457">
            <w:pPr>
              <w:rPr>
                <w:rFonts w:cs="Times New Roman"/>
                <w:sz w:val="20"/>
                <w:szCs w:val="20"/>
              </w:rPr>
            </w:pPr>
            <w:r w:rsidRPr="00D14254">
              <w:rPr>
                <w:rFonts w:cs="Times New Roman"/>
                <w:sz w:val="20"/>
                <w:szCs w:val="20"/>
              </w:rPr>
              <w:t xml:space="preserve">51 - 75  </w:t>
            </w:r>
          </w:p>
          <w:p w:rsidR="00396A41" w:rsidRPr="00D14254" w:rsidRDefault="00396A41" w:rsidP="00921457">
            <w:pPr>
              <w:rPr>
                <w:rFonts w:cs="Times New Roman"/>
                <w:sz w:val="20"/>
                <w:szCs w:val="20"/>
              </w:rPr>
            </w:pPr>
            <w:r w:rsidRPr="00D14254">
              <w:rPr>
                <w:rFonts w:cs="Times New Roman"/>
                <w:sz w:val="20"/>
                <w:szCs w:val="20"/>
              </w:rPr>
              <w:t xml:space="preserve">76 - 100 </w:t>
            </w:r>
          </w:p>
          <w:p w:rsidR="00396A41" w:rsidRPr="00D14254" w:rsidRDefault="00396A41" w:rsidP="00921457">
            <w:pPr>
              <w:rPr>
                <w:rFonts w:cs="Times New Roman"/>
                <w:sz w:val="20"/>
                <w:szCs w:val="20"/>
              </w:rPr>
            </w:pPr>
            <w:r w:rsidRPr="00D14254">
              <w:rPr>
                <w:rFonts w:cs="Times New Roman"/>
                <w:sz w:val="20"/>
                <w:szCs w:val="20"/>
              </w:rPr>
              <w:t xml:space="preserve">Above 100 </w:t>
            </w:r>
          </w:p>
        </w:tc>
        <w:tc>
          <w:tcPr>
            <w:tcW w:w="1061" w:type="dxa"/>
            <w:tcBorders>
              <w:top w:val="nil"/>
              <w:left w:val="nil"/>
              <w:bottom w:val="nil"/>
              <w:right w:val="nil"/>
            </w:tcBorders>
          </w:tcPr>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305</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110</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28</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6</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8</w:t>
            </w:r>
          </w:p>
          <w:p w:rsidR="00396A41" w:rsidRPr="00D14254" w:rsidRDefault="00396A41" w:rsidP="00921457">
            <w:pPr>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94" w:type="dxa"/>
            <w:tcBorders>
              <w:top w:val="nil"/>
              <w:left w:val="nil"/>
              <w:bottom w:val="nil"/>
              <w:right w:val="nil"/>
            </w:tcBorders>
          </w:tcPr>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66.74</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24.07</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6.13</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1.31</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1.75</w:t>
            </w:r>
          </w:p>
          <w:p w:rsidR="00396A41" w:rsidRPr="00D14254" w:rsidRDefault="00396A41" w:rsidP="00921457">
            <w:pPr>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2276" w:type="dxa"/>
            <w:tcBorders>
              <w:top w:val="nil"/>
              <w:left w:val="nil"/>
              <w:bottom w:val="nil"/>
              <w:right w:val="nil"/>
            </w:tcBorders>
          </w:tcPr>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66.74</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90.81</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96.94</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98.25</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100</w:t>
            </w:r>
          </w:p>
          <w:p w:rsidR="00396A41" w:rsidRPr="00D14254" w:rsidRDefault="00396A41" w:rsidP="00921457">
            <w:pPr>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396A41" w:rsidRPr="00D14254" w:rsidTr="00D14254">
        <w:trPr>
          <w:trHeight w:val="2160"/>
          <w:jc w:val="center"/>
        </w:trPr>
        <w:tc>
          <w:tcPr>
            <w:cnfStyle w:val="001000000000" w:firstRow="0" w:lastRow="0" w:firstColumn="1" w:lastColumn="0" w:oddVBand="0" w:evenVBand="0" w:oddHBand="0" w:evenHBand="0" w:firstRowFirstColumn="0" w:firstRowLastColumn="0" w:lastRowFirstColumn="0" w:lastRowLastColumn="0"/>
            <w:tcW w:w="3740" w:type="dxa"/>
            <w:tcBorders>
              <w:top w:val="nil"/>
              <w:left w:val="nil"/>
              <w:bottom w:val="nil"/>
              <w:right w:val="nil"/>
            </w:tcBorders>
            <w:hideMark/>
          </w:tcPr>
          <w:p w:rsidR="00396A41" w:rsidRPr="00D14254" w:rsidRDefault="00396A41" w:rsidP="00921457">
            <w:pPr>
              <w:rPr>
                <w:rFonts w:cs="Times New Roman"/>
                <w:b/>
                <w:bCs/>
                <w:sz w:val="20"/>
                <w:szCs w:val="20"/>
              </w:rPr>
            </w:pPr>
            <w:r w:rsidRPr="00D14254">
              <w:rPr>
                <w:rFonts w:cs="Times New Roman"/>
                <w:b/>
                <w:bCs/>
                <w:sz w:val="20"/>
                <w:szCs w:val="20"/>
              </w:rPr>
              <w:t xml:space="preserve">Number of Assets owned After patronising NI facility </w:t>
            </w:r>
          </w:p>
          <w:p w:rsidR="00396A41" w:rsidRPr="00D14254" w:rsidRDefault="00396A41" w:rsidP="00921457">
            <w:pPr>
              <w:rPr>
                <w:rFonts w:cs="Times New Roman"/>
                <w:sz w:val="20"/>
                <w:szCs w:val="20"/>
              </w:rPr>
            </w:pPr>
            <w:r w:rsidRPr="00D14254">
              <w:rPr>
                <w:rFonts w:cs="Times New Roman"/>
                <w:sz w:val="20"/>
                <w:szCs w:val="20"/>
              </w:rPr>
              <w:t xml:space="preserve">25 and below </w:t>
            </w:r>
          </w:p>
          <w:p w:rsidR="00396A41" w:rsidRPr="00D14254" w:rsidRDefault="00396A41" w:rsidP="00921457">
            <w:pPr>
              <w:rPr>
                <w:rFonts w:cs="Times New Roman"/>
                <w:sz w:val="20"/>
                <w:szCs w:val="20"/>
              </w:rPr>
            </w:pPr>
            <w:r w:rsidRPr="00D14254">
              <w:rPr>
                <w:rFonts w:cs="Times New Roman"/>
                <w:sz w:val="20"/>
                <w:szCs w:val="20"/>
              </w:rPr>
              <w:t xml:space="preserve">26 - 50 </w:t>
            </w:r>
          </w:p>
          <w:p w:rsidR="00396A41" w:rsidRPr="00D14254" w:rsidRDefault="00396A41" w:rsidP="00921457">
            <w:pPr>
              <w:rPr>
                <w:rFonts w:cs="Times New Roman"/>
                <w:sz w:val="20"/>
                <w:szCs w:val="20"/>
              </w:rPr>
            </w:pPr>
            <w:r w:rsidRPr="00D14254">
              <w:rPr>
                <w:rFonts w:cs="Times New Roman"/>
                <w:sz w:val="20"/>
                <w:szCs w:val="20"/>
              </w:rPr>
              <w:t xml:space="preserve">51 - 75  </w:t>
            </w:r>
          </w:p>
          <w:p w:rsidR="00396A41" w:rsidRPr="00D14254" w:rsidRDefault="00396A41" w:rsidP="00921457">
            <w:pPr>
              <w:rPr>
                <w:rFonts w:cs="Times New Roman"/>
                <w:sz w:val="20"/>
                <w:szCs w:val="20"/>
              </w:rPr>
            </w:pPr>
            <w:r w:rsidRPr="00D14254">
              <w:rPr>
                <w:rFonts w:cs="Times New Roman"/>
                <w:sz w:val="20"/>
                <w:szCs w:val="20"/>
              </w:rPr>
              <w:t xml:space="preserve">76 - 100 </w:t>
            </w:r>
          </w:p>
          <w:p w:rsidR="00396A41" w:rsidRPr="00D14254" w:rsidRDefault="00396A41" w:rsidP="00921457">
            <w:pPr>
              <w:rPr>
                <w:rFonts w:cs="Times New Roman"/>
                <w:sz w:val="20"/>
                <w:szCs w:val="20"/>
              </w:rPr>
            </w:pPr>
            <w:r w:rsidRPr="00D14254">
              <w:rPr>
                <w:rFonts w:cs="Times New Roman"/>
                <w:sz w:val="20"/>
                <w:szCs w:val="20"/>
              </w:rPr>
              <w:t>Above 100</w:t>
            </w:r>
          </w:p>
        </w:tc>
        <w:tc>
          <w:tcPr>
            <w:tcW w:w="1061" w:type="dxa"/>
            <w:tcBorders>
              <w:top w:val="nil"/>
              <w:left w:val="nil"/>
              <w:bottom w:val="nil"/>
              <w:right w:val="nil"/>
            </w:tcBorders>
          </w:tcPr>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273</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111</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42</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10</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14</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94" w:type="dxa"/>
            <w:tcBorders>
              <w:top w:val="nil"/>
              <w:left w:val="nil"/>
              <w:bottom w:val="nil"/>
              <w:right w:val="nil"/>
            </w:tcBorders>
          </w:tcPr>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60.53</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24.61</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9.32</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2.44</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3.10</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2276" w:type="dxa"/>
            <w:tcBorders>
              <w:top w:val="nil"/>
              <w:left w:val="nil"/>
              <w:bottom w:val="nil"/>
              <w:right w:val="nil"/>
            </w:tcBorders>
          </w:tcPr>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60.53</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85.14</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94.46</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96.90</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100</w:t>
            </w:r>
          </w:p>
        </w:tc>
      </w:tr>
      <w:tr w:rsidR="00396A41" w:rsidRPr="00D14254" w:rsidTr="00D14254">
        <w:trPr>
          <w:trHeight w:val="1585"/>
          <w:jc w:val="center"/>
        </w:trPr>
        <w:tc>
          <w:tcPr>
            <w:cnfStyle w:val="001000000000" w:firstRow="0" w:lastRow="0" w:firstColumn="1" w:lastColumn="0" w:oddVBand="0" w:evenVBand="0" w:oddHBand="0" w:evenHBand="0" w:firstRowFirstColumn="0" w:firstRowLastColumn="0" w:lastRowFirstColumn="0" w:lastRowLastColumn="0"/>
            <w:tcW w:w="3740" w:type="dxa"/>
            <w:tcBorders>
              <w:top w:val="nil"/>
              <w:left w:val="nil"/>
              <w:bottom w:val="nil"/>
              <w:right w:val="nil"/>
            </w:tcBorders>
            <w:hideMark/>
          </w:tcPr>
          <w:p w:rsidR="00396A41" w:rsidRPr="00D14254" w:rsidRDefault="00396A41" w:rsidP="00921457">
            <w:pPr>
              <w:rPr>
                <w:rFonts w:cs="Times New Roman"/>
                <w:b/>
                <w:bCs/>
                <w:sz w:val="20"/>
                <w:szCs w:val="20"/>
              </w:rPr>
            </w:pPr>
            <w:r w:rsidRPr="00D14254">
              <w:rPr>
                <w:rFonts w:cs="Times New Roman"/>
                <w:b/>
                <w:bCs/>
                <w:sz w:val="20"/>
                <w:szCs w:val="20"/>
              </w:rPr>
              <w:t xml:space="preserve">My savings increased as a result of Type of NI financial service provider </w:t>
            </w:r>
          </w:p>
          <w:p w:rsidR="00396A41" w:rsidRPr="00D14254" w:rsidRDefault="00396A41" w:rsidP="00921457">
            <w:pPr>
              <w:rPr>
                <w:rFonts w:cs="Times New Roman"/>
                <w:sz w:val="20"/>
                <w:szCs w:val="20"/>
              </w:rPr>
            </w:pPr>
            <w:r w:rsidRPr="00D14254">
              <w:rPr>
                <w:rFonts w:cs="Times New Roman"/>
                <w:sz w:val="20"/>
                <w:szCs w:val="20"/>
              </w:rPr>
              <w:t>Strongly Agree</w:t>
            </w:r>
          </w:p>
          <w:p w:rsidR="00396A41" w:rsidRPr="00D14254" w:rsidRDefault="00396A41" w:rsidP="00921457">
            <w:pPr>
              <w:rPr>
                <w:rFonts w:cs="Times New Roman"/>
                <w:sz w:val="20"/>
                <w:szCs w:val="20"/>
              </w:rPr>
            </w:pPr>
            <w:r w:rsidRPr="00D14254">
              <w:rPr>
                <w:rFonts w:cs="Times New Roman"/>
                <w:sz w:val="20"/>
                <w:szCs w:val="20"/>
              </w:rPr>
              <w:t xml:space="preserve">Agree                                                   </w:t>
            </w:r>
          </w:p>
          <w:p w:rsidR="00396A41" w:rsidRPr="00D14254" w:rsidRDefault="00396A41" w:rsidP="00921457">
            <w:pPr>
              <w:rPr>
                <w:rFonts w:cs="Times New Roman"/>
                <w:sz w:val="20"/>
                <w:szCs w:val="20"/>
              </w:rPr>
            </w:pPr>
            <w:r w:rsidRPr="00D14254">
              <w:rPr>
                <w:rFonts w:cs="Times New Roman"/>
                <w:sz w:val="20"/>
                <w:szCs w:val="20"/>
              </w:rPr>
              <w:t xml:space="preserve">Neutral </w:t>
            </w:r>
          </w:p>
          <w:p w:rsidR="00396A41" w:rsidRPr="00D14254" w:rsidRDefault="00396A41" w:rsidP="00921457">
            <w:pPr>
              <w:rPr>
                <w:rFonts w:cs="Times New Roman"/>
                <w:sz w:val="20"/>
                <w:szCs w:val="20"/>
              </w:rPr>
            </w:pPr>
            <w:r w:rsidRPr="00D14254">
              <w:rPr>
                <w:rFonts w:cs="Times New Roman"/>
                <w:sz w:val="20"/>
                <w:szCs w:val="20"/>
              </w:rPr>
              <w:t>Disagree</w:t>
            </w:r>
          </w:p>
          <w:p w:rsidR="00396A41" w:rsidRPr="00D14254" w:rsidRDefault="00396A41" w:rsidP="00921457">
            <w:pPr>
              <w:rPr>
                <w:rFonts w:cs="Times New Roman"/>
                <w:sz w:val="20"/>
                <w:szCs w:val="20"/>
              </w:rPr>
            </w:pPr>
            <w:r w:rsidRPr="00D14254">
              <w:rPr>
                <w:rFonts w:cs="Times New Roman"/>
                <w:sz w:val="20"/>
                <w:szCs w:val="20"/>
              </w:rPr>
              <w:t xml:space="preserve">Strongly Disagree </w:t>
            </w:r>
            <w:r w:rsidRPr="00D14254">
              <w:rPr>
                <w:rFonts w:cs="Times New Roman"/>
                <w:sz w:val="20"/>
                <w:szCs w:val="20"/>
              </w:rPr>
              <w:tab/>
            </w:r>
          </w:p>
        </w:tc>
        <w:tc>
          <w:tcPr>
            <w:tcW w:w="1061" w:type="dxa"/>
            <w:tcBorders>
              <w:top w:val="nil"/>
              <w:left w:val="nil"/>
              <w:bottom w:val="nil"/>
              <w:right w:val="nil"/>
            </w:tcBorders>
          </w:tcPr>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26</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84</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143</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161</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139</w:t>
            </w:r>
          </w:p>
        </w:tc>
        <w:tc>
          <w:tcPr>
            <w:tcW w:w="1094" w:type="dxa"/>
            <w:tcBorders>
              <w:top w:val="nil"/>
              <w:left w:val="nil"/>
              <w:bottom w:val="nil"/>
              <w:right w:val="nil"/>
            </w:tcBorders>
          </w:tcPr>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 xml:space="preserve"> 4.70</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15.19</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25.86</w:t>
            </w:r>
          </w:p>
          <w:p w:rsidR="00396A41" w:rsidRPr="00D14254" w:rsidRDefault="00396A41" w:rsidP="00921457">
            <w:pPr>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 xml:space="preserve">     29.11</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25.14</w:t>
            </w:r>
          </w:p>
        </w:tc>
        <w:tc>
          <w:tcPr>
            <w:tcW w:w="2276" w:type="dxa"/>
            <w:tcBorders>
              <w:top w:val="nil"/>
              <w:left w:val="nil"/>
              <w:bottom w:val="nil"/>
              <w:right w:val="nil"/>
            </w:tcBorders>
          </w:tcPr>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4.70</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19.89</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45.75</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74.86</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100</w:t>
            </w:r>
          </w:p>
        </w:tc>
      </w:tr>
      <w:tr w:rsidR="00396A41" w:rsidRPr="00D14254" w:rsidTr="00D14254">
        <w:trPr>
          <w:trHeight w:val="1252"/>
          <w:jc w:val="center"/>
        </w:trPr>
        <w:tc>
          <w:tcPr>
            <w:cnfStyle w:val="001000000000" w:firstRow="0" w:lastRow="0" w:firstColumn="1" w:lastColumn="0" w:oddVBand="0" w:evenVBand="0" w:oddHBand="0" w:evenHBand="0" w:firstRowFirstColumn="0" w:firstRowLastColumn="0" w:lastRowFirstColumn="0" w:lastRowLastColumn="0"/>
            <w:tcW w:w="3740" w:type="dxa"/>
            <w:tcBorders>
              <w:top w:val="nil"/>
              <w:left w:val="nil"/>
              <w:bottom w:val="single" w:sz="4" w:space="0" w:color="auto"/>
              <w:right w:val="nil"/>
            </w:tcBorders>
            <w:hideMark/>
          </w:tcPr>
          <w:p w:rsidR="00396A41" w:rsidRPr="00D14254" w:rsidRDefault="00396A41" w:rsidP="00921457">
            <w:pPr>
              <w:rPr>
                <w:rFonts w:cs="Times New Roman"/>
                <w:b/>
                <w:bCs/>
                <w:sz w:val="20"/>
                <w:szCs w:val="20"/>
              </w:rPr>
            </w:pPr>
            <w:r w:rsidRPr="00D14254">
              <w:rPr>
                <w:rFonts w:cs="Times New Roman"/>
                <w:b/>
                <w:bCs/>
                <w:sz w:val="20"/>
                <w:szCs w:val="20"/>
              </w:rPr>
              <w:t>Wealth Increase from NI facility</w:t>
            </w:r>
          </w:p>
          <w:p w:rsidR="00396A41" w:rsidRPr="00D14254" w:rsidRDefault="00396A41" w:rsidP="00921457">
            <w:pPr>
              <w:rPr>
                <w:rFonts w:cs="Times New Roman"/>
                <w:sz w:val="20"/>
                <w:szCs w:val="20"/>
              </w:rPr>
            </w:pPr>
            <w:r w:rsidRPr="00D14254">
              <w:rPr>
                <w:rFonts w:cs="Times New Roman"/>
                <w:sz w:val="20"/>
                <w:szCs w:val="20"/>
              </w:rPr>
              <w:t>Strongly Agree</w:t>
            </w:r>
          </w:p>
          <w:p w:rsidR="00396A41" w:rsidRPr="00D14254" w:rsidRDefault="00396A41" w:rsidP="00921457">
            <w:pPr>
              <w:rPr>
                <w:rFonts w:cs="Times New Roman"/>
                <w:sz w:val="20"/>
                <w:szCs w:val="20"/>
              </w:rPr>
            </w:pPr>
            <w:r w:rsidRPr="00D14254">
              <w:rPr>
                <w:rFonts w:cs="Times New Roman"/>
                <w:sz w:val="20"/>
                <w:szCs w:val="20"/>
              </w:rPr>
              <w:t xml:space="preserve">Agree                                                   </w:t>
            </w:r>
          </w:p>
          <w:p w:rsidR="00396A41" w:rsidRPr="00D14254" w:rsidRDefault="00396A41" w:rsidP="00921457">
            <w:pPr>
              <w:rPr>
                <w:rFonts w:cs="Times New Roman"/>
                <w:sz w:val="20"/>
                <w:szCs w:val="20"/>
              </w:rPr>
            </w:pPr>
            <w:r w:rsidRPr="00D14254">
              <w:rPr>
                <w:rFonts w:cs="Times New Roman"/>
                <w:sz w:val="20"/>
                <w:szCs w:val="20"/>
              </w:rPr>
              <w:t xml:space="preserve">Neutral </w:t>
            </w:r>
          </w:p>
          <w:p w:rsidR="00396A41" w:rsidRPr="00D14254" w:rsidRDefault="00396A41" w:rsidP="00921457">
            <w:pPr>
              <w:rPr>
                <w:rFonts w:cs="Times New Roman"/>
                <w:sz w:val="20"/>
                <w:szCs w:val="20"/>
              </w:rPr>
            </w:pPr>
            <w:r w:rsidRPr="00D14254">
              <w:rPr>
                <w:rFonts w:cs="Times New Roman"/>
                <w:sz w:val="20"/>
                <w:szCs w:val="20"/>
              </w:rPr>
              <w:t>Disagree</w:t>
            </w:r>
          </w:p>
          <w:p w:rsidR="00396A41" w:rsidRPr="00D14254" w:rsidRDefault="00396A41" w:rsidP="00921457">
            <w:pPr>
              <w:rPr>
                <w:rFonts w:cs="Times New Roman"/>
                <w:sz w:val="20"/>
                <w:szCs w:val="20"/>
              </w:rPr>
            </w:pPr>
            <w:r w:rsidRPr="00D14254">
              <w:rPr>
                <w:rFonts w:cs="Times New Roman"/>
                <w:sz w:val="20"/>
                <w:szCs w:val="20"/>
              </w:rPr>
              <w:t>Strongly Disagree</w:t>
            </w:r>
          </w:p>
        </w:tc>
        <w:tc>
          <w:tcPr>
            <w:tcW w:w="1061" w:type="dxa"/>
            <w:tcBorders>
              <w:top w:val="nil"/>
              <w:left w:val="nil"/>
              <w:bottom w:val="single" w:sz="4" w:space="0" w:color="auto"/>
              <w:right w:val="nil"/>
            </w:tcBorders>
          </w:tcPr>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16</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71</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93</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213</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208</w:t>
            </w:r>
          </w:p>
        </w:tc>
        <w:tc>
          <w:tcPr>
            <w:tcW w:w="1094" w:type="dxa"/>
            <w:tcBorders>
              <w:top w:val="nil"/>
              <w:left w:val="nil"/>
              <w:bottom w:val="single" w:sz="4" w:space="0" w:color="auto"/>
              <w:right w:val="nil"/>
            </w:tcBorders>
          </w:tcPr>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2.66</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11.81</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15.47</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 xml:space="preserve"> 35.44</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34.61</w:t>
            </w:r>
          </w:p>
        </w:tc>
        <w:tc>
          <w:tcPr>
            <w:tcW w:w="2276" w:type="dxa"/>
            <w:tcBorders>
              <w:top w:val="nil"/>
              <w:left w:val="nil"/>
              <w:bottom w:val="single" w:sz="4" w:space="0" w:color="auto"/>
              <w:right w:val="nil"/>
            </w:tcBorders>
          </w:tcPr>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2.66</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14.48</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29.95</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65.39</w:t>
            </w:r>
          </w:p>
          <w:p w:rsidR="00396A41" w:rsidRPr="00D14254" w:rsidRDefault="00396A41" w:rsidP="00921457">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D14254">
              <w:rPr>
                <w:rFonts w:cs="Times New Roman"/>
                <w:sz w:val="20"/>
                <w:szCs w:val="20"/>
              </w:rPr>
              <w:t>100</w:t>
            </w:r>
          </w:p>
        </w:tc>
      </w:tr>
    </w:tbl>
    <w:p w:rsidR="00396A41" w:rsidRPr="00FA0E55" w:rsidRDefault="00396A41" w:rsidP="00396A41">
      <w:pPr>
        <w:rPr>
          <w:sz w:val="18"/>
        </w:rPr>
      </w:pPr>
      <w:r w:rsidRPr="00FA0E55">
        <w:rPr>
          <w:sz w:val="18"/>
        </w:rPr>
        <w:t xml:space="preserve"> </w:t>
      </w:r>
      <w:r w:rsidR="00C05439">
        <w:rPr>
          <w:sz w:val="18"/>
        </w:rPr>
        <w:tab/>
      </w:r>
      <w:r w:rsidRPr="00FA0E55">
        <w:rPr>
          <w:sz w:val="18"/>
        </w:rPr>
        <w:t xml:space="preserve"> Source: Authors (2024)</w:t>
      </w:r>
    </w:p>
    <w:p w:rsidR="00D14254" w:rsidRPr="00D14254" w:rsidRDefault="00D14254" w:rsidP="00396A41"/>
    <w:p w:rsidR="00396A41" w:rsidRPr="00D14254" w:rsidRDefault="00396A41" w:rsidP="00396A41">
      <w:pPr>
        <w:jc w:val="both"/>
      </w:pPr>
      <w:r w:rsidRPr="00D14254">
        <w:t xml:space="preserve">  Table 3 indicates the distribution of livelihood strategies of the respondents. Most of the respondents argued that they don’t participate in any cooperative society. This is not unusual in the study area as most people are not aware about the benefit of being in to a cooperative society. Additionally, the Table shows that the majority of the respondents (about 70%) disagree with the fact that their income increased due to being client of non-interest financial institutions. This is not surprising because most of these clients are mere account holders in such NI-Financial institutions. Most of them did not receive any form of NI-Facility such as Mudarabah etc. (apart from being an account holder) and therefore at the end of the day, being customers of such financial institutions could not change their income status. Nearly same response rates were found regarding the impact of the NI Financial institutions on other livelihood indicators such as: enhancement in consumption, increase in savings, change in the number of assets own and the total wealth increase. Most of the respondent did not report any significant changes of these livelihood indicators as a result of the activities of NI-Financial Institutions. This is as explained earlier due to the fact that most of the customers are mere account holder and owners with these NI-Financial Institutions and could not access the various actual NI-Interest facilities that may have a positive impact on their livelihood.</w:t>
      </w:r>
    </w:p>
    <w:p w:rsidR="00396A41" w:rsidRPr="00D14254" w:rsidRDefault="00396A41" w:rsidP="00396A41">
      <w:pPr>
        <w:jc w:val="both"/>
      </w:pPr>
    </w:p>
    <w:p w:rsidR="00396A41" w:rsidRPr="00D14254" w:rsidRDefault="00396A41" w:rsidP="00396A41">
      <w:pPr>
        <w:jc w:val="both"/>
      </w:pPr>
    </w:p>
    <w:p w:rsidR="00396A41" w:rsidRPr="00FA0E55" w:rsidRDefault="00396A41" w:rsidP="00396A41">
      <w:pPr>
        <w:rPr>
          <w:b/>
          <w:bCs/>
          <w:sz w:val="24"/>
        </w:rPr>
      </w:pPr>
      <w:r w:rsidRPr="00FA0E55">
        <w:rPr>
          <w:b/>
          <w:bCs/>
          <w:sz w:val="24"/>
        </w:rPr>
        <w:t>4.2 Inferential analysis of the relationship between non interest financial services and the household livelihood</w:t>
      </w:r>
    </w:p>
    <w:p w:rsidR="00396A41" w:rsidRDefault="00396A41" w:rsidP="00396A41">
      <w:pPr>
        <w:jc w:val="both"/>
      </w:pPr>
      <w:r w:rsidRPr="00D14254">
        <w:t xml:space="preserve">Furthermore, Table 4 indicates the estimated logit model of the impact of non-interest financial service on the household livelihood indicated by the change in the household income. This is indicated below: </w:t>
      </w:r>
    </w:p>
    <w:p w:rsidR="00FA0E55" w:rsidRDefault="00FA0E55" w:rsidP="00396A41">
      <w:pPr>
        <w:jc w:val="both"/>
      </w:pPr>
    </w:p>
    <w:p w:rsidR="00FA0E55" w:rsidRDefault="00FA0E55" w:rsidP="00396A41">
      <w:pPr>
        <w:jc w:val="both"/>
      </w:pPr>
    </w:p>
    <w:p w:rsidR="00FA0E55" w:rsidRDefault="00FA0E55" w:rsidP="00396A41">
      <w:pPr>
        <w:jc w:val="both"/>
      </w:pPr>
    </w:p>
    <w:p w:rsidR="00FA0E55" w:rsidRDefault="00FA0E55" w:rsidP="00396A41">
      <w:pPr>
        <w:jc w:val="both"/>
      </w:pPr>
    </w:p>
    <w:p w:rsidR="00FA0E55" w:rsidRDefault="00FA0E55" w:rsidP="00396A41">
      <w:pPr>
        <w:jc w:val="both"/>
      </w:pPr>
    </w:p>
    <w:p w:rsidR="00FA0E55" w:rsidRDefault="00FA0E55" w:rsidP="00396A41">
      <w:pPr>
        <w:jc w:val="both"/>
      </w:pPr>
    </w:p>
    <w:p w:rsidR="00FA0E55" w:rsidRDefault="00FA0E55" w:rsidP="00396A41">
      <w:pPr>
        <w:jc w:val="both"/>
      </w:pPr>
    </w:p>
    <w:p w:rsidR="00FA0E55" w:rsidRDefault="00FA0E55" w:rsidP="00396A41">
      <w:pPr>
        <w:jc w:val="both"/>
      </w:pPr>
    </w:p>
    <w:p w:rsidR="000E432E" w:rsidRPr="00D14254" w:rsidRDefault="000E432E" w:rsidP="00396A41">
      <w:pPr>
        <w:jc w:val="both"/>
      </w:pPr>
    </w:p>
    <w:p w:rsidR="00396A41" w:rsidRPr="00FA0E55" w:rsidRDefault="00396A41" w:rsidP="000E432E">
      <w:pPr>
        <w:ind w:firstLine="720"/>
        <w:rPr>
          <w:sz w:val="18"/>
        </w:rPr>
      </w:pPr>
      <w:r w:rsidRPr="00FA0E55">
        <w:rPr>
          <w:sz w:val="18"/>
        </w:rPr>
        <w:lastRenderedPageBreak/>
        <w:t>Table 4: Household change in income models</w:t>
      </w:r>
    </w:p>
    <w:tbl>
      <w:tblPr>
        <w:tblW w:w="7327" w:type="dxa"/>
        <w:jc w:val="center"/>
        <w:tblInd w:w="3142" w:type="dxa"/>
        <w:tblLayout w:type="fixed"/>
        <w:tblCellMar>
          <w:left w:w="75" w:type="dxa"/>
          <w:right w:w="75" w:type="dxa"/>
        </w:tblCellMar>
        <w:tblLook w:val="04A0" w:firstRow="1" w:lastRow="0" w:firstColumn="1" w:lastColumn="0" w:noHBand="0" w:noVBand="1"/>
      </w:tblPr>
      <w:tblGrid>
        <w:gridCol w:w="1428"/>
        <w:gridCol w:w="2970"/>
        <w:gridCol w:w="2929"/>
      </w:tblGrid>
      <w:tr w:rsidR="00396A41" w:rsidRPr="000E432E" w:rsidTr="00795E1D">
        <w:trPr>
          <w:jc w:val="center"/>
        </w:trPr>
        <w:tc>
          <w:tcPr>
            <w:tcW w:w="1428" w:type="dxa"/>
            <w:tcBorders>
              <w:top w:val="single" w:sz="6" w:space="0" w:color="auto"/>
              <w:left w:val="nil"/>
              <w:bottom w:val="nil"/>
              <w:right w:val="nil"/>
            </w:tcBorders>
          </w:tcPr>
          <w:p w:rsidR="00396A41" w:rsidRPr="000E432E" w:rsidRDefault="00396A41" w:rsidP="00921457">
            <w:pPr>
              <w:widowControl w:val="0"/>
              <w:autoSpaceDE w:val="0"/>
              <w:autoSpaceDN w:val="0"/>
              <w:adjustRightInd w:val="0"/>
            </w:pPr>
          </w:p>
        </w:tc>
        <w:tc>
          <w:tcPr>
            <w:tcW w:w="2970" w:type="dxa"/>
            <w:tcBorders>
              <w:top w:val="single" w:sz="6" w:space="0" w:color="auto"/>
              <w:left w:val="nil"/>
              <w:bottom w:val="nil"/>
              <w:right w:val="nil"/>
            </w:tcBorders>
            <w:hideMark/>
          </w:tcPr>
          <w:p w:rsidR="00396A41" w:rsidRPr="000E432E" w:rsidRDefault="00396A41" w:rsidP="00921457">
            <w:pPr>
              <w:widowControl w:val="0"/>
              <w:autoSpaceDE w:val="0"/>
              <w:autoSpaceDN w:val="0"/>
              <w:adjustRightInd w:val="0"/>
              <w:jc w:val="center"/>
            </w:pPr>
            <w:r w:rsidRPr="000E432E">
              <w:t>(1)</w:t>
            </w:r>
          </w:p>
        </w:tc>
        <w:tc>
          <w:tcPr>
            <w:tcW w:w="2929" w:type="dxa"/>
            <w:tcBorders>
              <w:top w:val="single" w:sz="6" w:space="0" w:color="auto"/>
              <w:left w:val="nil"/>
              <w:bottom w:val="nil"/>
              <w:right w:val="nil"/>
            </w:tcBorders>
            <w:hideMark/>
          </w:tcPr>
          <w:p w:rsidR="00396A41" w:rsidRPr="000E432E" w:rsidRDefault="00396A41" w:rsidP="00921457">
            <w:pPr>
              <w:widowControl w:val="0"/>
              <w:autoSpaceDE w:val="0"/>
              <w:autoSpaceDN w:val="0"/>
              <w:adjustRightInd w:val="0"/>
              <w:jc w:val="center"/>
            </w:pPr>
            <w:r w:rsidRPr="000E432E">
              <w:t>(2)</w:t>
            </w:r>
          </w:p>
        </w:tc>
      </w:tr>
      <w:tr w:rsidR="00396A41" w:rsidRPr="000E432E" w:rsidTr="00795E1D">
        <w:trPr>
          <w:jc w:val="center"/>
        </w:trPr>
        <w:tc>
          <w:tcPr>
            <w:tcW w:w="1428" w:type="dxa"/>
          </w:tcPr>
          <w:p w:rsidR="00396A41" w:rsidRPr="000E432E" w:rsidRDefault="00396A41" w:rsidP="00921457">
            <w:pPr>
              <w:widowControl w:val="0"/>
              <w:autoSpaceDE w:val="0"/>
              <w:autoSpaceDN w:val="0"/>
              <w:adjustRightInd w:val="0"/>
            </w:pPr>
          </w:p>
        </w:tc>
        <w:tc>
          <w:tcPr>
            <w:tcW w:w="2970" w:type="dxa"/>
            <w:hideMark/>
          </w:tcPr>
          <w:p w:rsidR="00396A41" w:rsidRPr="000E432E" w:rsidRDefault="00396A41" w:rsidP="00921457">
            <w:pPr>
              <w:widowControl w:val="0"/>
              <w:autoSpaceDE w:val="0"/>
              <w:autoSpaceDN w:val="0"/>
              <w:adjustRightInd w:val="0"/>
              <w:jc w:val="center"/>
            </w:pPr>
            <w:r w:rsidRPr="000E432E">
              <w:t>Coefficients</w:t>
            </w:r>
          </w:p>
        </w:tc>
        <w:tc>
          <w:tcPr>
            <w:tcW w:w="2929" w:type="dxa"/>
            <w:hideMark/>
          </w:tcPr>
          <w:p w:rsidR="00396A41" w:rsidRPr="000E432E" w:rsidRDefault="00396A41" w:rsidP="00921457">
            <w:pPr>
              <w:widowControl w:val="0"/>
              <w:autoSpaceDE w:val="0"/>
              <w:autoSpaceDN w:val="0"/>
              <w:adjustRightInd w:val="0"/>
              <w:jc w:val="center"/>
            </w:pPr>
            <w:r w:rsidRPr="000E432E">
              <w:t>Odd Ratios</w:t>
            </w:r>
          </w:p>
        </w:tc>
      </w:tr>
      <w:tr w:rsidR="00396A41" w:rsidRPr="000E432E" w:rsidTr="00795E1D">
        <w:trPr>
          <w:jc w:val="center"/>
        </w:trPr>
        <w:tc>
          <w:tcPr>
            <w:tcW w:w="1428" w:type="dxa"/>
            <w:tcBorders>
              <w:top w:val="nil"/>
              <w:left w:val="nil"/>
              <w:bottom w:val="single" w:sz="6" w:space="0" w:color="auto"/>
              <w:right w:val="nil"/>
            </w:tcBorders>
            <w:hideMark/>
          </w:tcPr>
          <w:p w:rsidR="00396A41" w:rsidRPr="000E432E" w:rsidRDefault="00396A41" w:rsidP="00921457">
            <w:pPr>
              <w:widowControl w:val="0"/>
              <w:autoSpaceDE w:val="0"/>
              <w:autoSpaceDN w:val="0"/>
              <w:adjustRightInd w:val="0"/>
            </w:pPr>
            <w:r w:rsidRPr="000E432E">
              <w:t>VARIABLES</w:t>
            </w:r>
          </w:p>
        </w:tc>
        <w:tc>
          <w:tcPr>
            <w:tcW w:w="2970" w:type="dxa"/>
            <w:tcBorders>
              <w:top w:val="nil"/>
              <w:left w:val="nil"/>
              <w:bottom w:val="single" w:sz="6" w:space="0" w:color="auto"/>
              <w:right w:val="nil"/>
            </w:tcBorders>
            <w:hideMark/>
          </w:tcPr>
          <w:p w:rsidR="00396A41" w:rsidRPr="000E432E" w:rsidRDefault="00396A41" w:rsidP="00921457">
            <w:pPr>
              <w:widowControl w:val="0"/>
              <w:autoSpaceDE w:val="0"/>
              <w:autoSpaceDN w:val="0"/>
              <w:adjustRightInd w:val="0"/>
              <w:jc w:val="center"/>
            </w:pPr>
            <w:r w:rsidRPr="000E432E">
              <w:t>Change in Income</w:t>
            </w:r>
          </w:p>
        </w:tc>
        <w:tc>
          <w:tcPr>
            <w:tcW w:w="2929" w:type="dxa"/>
            <w:tcBorders>
              <w:top w:val="nil"/>
              <w:left w:val="nil"/>
              <w:bottom w:val="single" w:sz="6" w:space="0" w:color="auto"/>
              <w:right w:val="nil"/>
            </w:tcBorders>
            <w:hideMark/>
          </w:tcPr>
          <w:p w:rsidR="00396A41" w:rsidRPr="000E432E" w:rsidRDefault="00396A41" w:rsidP="00921457">
            <w:pPr>
              <w:widowControl w:val="0"/>
              <w:autoSpaceDE w:val="0"/>
              <w:autoSpaceDN w:val="0"/>
              <w:adjustRightInd w:val="0"/>
              <w:jc w:val="center"/>
            </w:pPr>
            <w:r w:rsidRPr="000E432E">
              <w:t>Change in Income</w:t>
            </w:r>
          </w:p>
        </w:tc>
      </w:tr>
      <w:tr w:rsidR="00396A41" w:rsidRPr="000E432E" w:rsidTr="00795E1D">
        <w:trPr>
          <w:jc w:val="center"/>
        </w:trPr>
        <w:tc>
          <w:tcPr>
            <w:tcW w:w="1428" w:type="dxa"/>
            <w:hideMark/>
          </w:tcPr>
          <w:p w:rsidR="00396A41" w:rsidRPr="000E432E" w:rsidRDefault="00396A41" w:rsidP="00921457">
            <w:pPr>
              <w:widowControl w:val="0"/>
              <w:autoSpaceDE w:val="0"/>
              <w:autoSpaceDN w:val="0"/>
              <w:adjustRightInd w:val="0"/>
            </w:pPr>
            <w:r w:rsidRPr="000E432E">
              <w:t>Age</w:t>
            </w:r>
          </w:p>
        </w:tc>
        <w:tc>
          <w:tcPr>
            <w:tcW w:w="2970" w:type="dxa"/>
            <w:hideMark/>
          </w:tcPr>
          <w:p w:rsidR="00396A41" w:rsidRPr="000E432E" w:rsidRDefault="00396A41" w:rsidP="00921457">
            <w:pPr>
              <w:widowControl w:val="0"/>
              <w:autoSpaceDE w:val="0"/>
              <w:autoSpaceDN w:val="0"/>
              <w:adjustRightInd w:val="0"/>
              <w:jc w:val="center"/>
            </w:pPr>
            <w:r w:rsidRPr="000E432E">
              <w:t>-0.0277</w:t>
            </w:r>
          </w:p>
        </w:tc>
        <w:tc>
          <w:tcPr>
            <w:tcW w:w="2929" w:type="dxa"/>
            <w:hideMark/>
          </w:tcPr>
          <w:p w:rsidR="00396A41" w:rsidRPr="000E432E" w:rsidRDefault="00396A41" w:rsidP="00921457">
            <w:pPr>
              <w:widowControl w:val="0"/>
              <w:autoSpaceDE w:val="0"/>
              <w:autoSpaceDN w:val="0"/>
              <w:adjustRightInd w:val="0"/>
              <w:jc w:val="center"/>
            </w:pPr>
            <w:r w:rsidRPr="000E432E">
              <w:t>0.973</w:t>
            </w:r>
          </w:p>
        </w:tc>
      </w:tr>
      <w:tr w:rsidR="00396A41" w:rsidRPr="000E432E" w:rsidTr="00795E1D">
        <w:trPr>
          <w:jc w:val="center"/>
        </w:trPr>
        <w:tc>
          <w:tcPr>
            <w:tcW w:w="1428" w:type="dxa"/>
          </w:tcPr>
          <w:p w:rsidR="00396A41" w:rsidRPr="000E432E" w:rsidRDefault="00396A41" w:rsidP="00921457">
            <w:pPr>
              <w:widowControl w:val="0"/>
              <w:autoSpaceDE w:val="0"/>
              <w:autoSpaceDN w:val="0"/>
              <w:adjustRightInd w:val="0"/>
            </w:pPr>
          </w:p>
        </w:tc>
        <w:tc>
          <w:tcPr>
            <w:tcW w:w="2970" w:type="dxa"/>
            <w:hideMark/>
          </w:tcPr>
          <w:p w:rsidR="00396A41" w:rsidRPr="000E432E" w:rsidRDefault="00396A41" w:rsidP="00921457">
            <w:pPr>
              <w:widowControl w:val="0"/>
              <w:autoSpaceDE w:val="0"/>
              <w:autoSpaceDN w:val="0"/>
              <w:adjustRightInd w:val="0"/>
              <w:jc w:val="center"/>
            </w:pPr>
            <w:r w:rsidRPr="000E432E">
              <w:t>(0.0265)</w:t>
            </w:r>
          </w:p>
        </w:tc>
        <w:tc>
          <w:tcPr>
            <w:tcW w:w="2929" w:type="dxa"/>
            <w:hideMark/>
          </w:tcPr>
          <w:p w:rsidR="00396A41" w:rsidRPr="000E432E" w:rsidRDefault="00396A41" w:rsidP="00921457">
            <w:pPr>
              <w:widowControl w:val="0"/>
              <w:autoSpaceDE w:val="0"/>
              <w:autoSpaceDN w:val="0"/>
              <w:adjustRightInd w:val="0"/>
              <w:jc w:val="center"/>
            </w:pPr>
            <w:r w:rsidRPr="000E432E">
              <w:t>(0.0258)</w:t>
            </w:r>
          </w:p>
        </w:tc>
      </w:tr>
      <w:tr w:rsidR="00396A41" w:rsidRPr="000E432E" w:rsidTr="00795E1D">
        <w:trPr>
          <w:jc w:val="center"/>
        </w:trPr>
        <w:tc>
          <w:tcPr>
            <w:tcW w:w="1428" w:type="dxa"/>
            <w:hideMark/>
          </w:tcPr>
          <w:p w:rsidR="00396A41" w:rsidRPr="000E432E" w:rsidRDefault="00396A41" w:rsidP="00921457">
            <w:pPr>
              <w:widowControl w:val="0"/>
              <w:autoSpaceDE w:val="0"/>
              <w:autoSpaceDN w:val="0"/>
              <w:adjustRightInd w:val="0"/>
            </w:pPr>
            <w:r w:rsidRPr="000E432E">
              <w:t>Hhs</w:t>
            </w:r>
          </w:p>
        </w:tc>
        <w:tc>
          <w:tcPr>
            <w:tcW w:w="2970" w:type="dxa"/>
            <w:hideMark/>
          </w:tcPr>
          <w:p w:rsidR="00396A41" w:rsidRPr="000E432E" w:rsidRDefault="00396A41" w:rsidP="00921457">
            <w:pPr>
              <w:widowControl w:val="0"/>
              <w:autoSpaceDE w:val="0"/>
              <w:autoSpaceDN w:val="0"/>
              <w:adjustRightInd w:val="0"/>
              <w:jc w:val="center"/>
            </w:pPr>
            <w:r w:rsidRPr="000E432E">
              <w:t>0.109**</w:t>
            </w:r>
          </w:p>
        </w:tc>
        <w:tc>
          <w:tcPr>
            <w:tcW w:w="2929" w:type="dxa"/>
            <w:hideMark/>
          </w:tcPr>
          <w:p w:rsidR="00396A41" w:rsidRPr="000E432E" w:rsidRDefault="00396A41" w:rsidP="00921457">
            <w:pPr>
              <w:widowControl w:val="0"/>
              <w:autoSpaceDE w:val="0"/>
              <w:autoSpaceDN w:val="0"/>
              <w:adjustRightInd w:val="0"/>
              <w:jc w:val="center"/>
            </w:pPr>
            <w:r w:rsidRPr="000E432E">
              <w:t>1.115**</w:t>
            </w:r>
          </w:p>
        </w:tc>
      </w:tr>
      <w:tr w:rsidR="00396A41" w:rsidRPr="000E432E" w:rsidTr="00795E1D">
        <w:trPr>
          <w:jc w:val="center"/>
        </w:trPr>
        <w:tc>
          <w:tcPr>
            <w:tcW w:w="1428" w:type="dxa"/>
          </w:tcPr>
          <w:p w:rsidR="00396A41" w:rsidRPr="000E432E" w:rsidRDefault="00396A41" w:rsidP="00921457">
            <w:pPr>
              <w:widowControl w:val="0"/>
              <w:autoSpaceDE w:val="0"/>
              <w:autoSpaceDN w:val="0"/>
              <w:adjustRightInd w:val="0"/>
            </w:pPr>
          </w:p>
        </w:tc>
        <w:tc>
          <w:tcPr>
            <w:tcW w:w="2970" w:type="dxa"/>
            <w:hideMark/>
          </w:tcPr>
          <w:p w:rsidR="00396A41" w:rsidRPr="000E432E" w:rsidRDefault="00396A41" w:rsidP="00921457">
            <w:pPr>
              <w:widowControl w:val="0"/>
              <w:autoSpaceDE w:val="0"/>
              <w:autoSpaceDN w:val="0"/>
              <w:adjustRightInd w:val="0"/>
              <w:jc w:val="center"/>
            </w:pPr>
            <w:r w:rsidRPr="000E432E">
              <w:t>(0.0437)</w:t>
            </w:r>
          </w:p>
        </w:tc>
        <w:tc>
          <w:tcPr>
            <w:tcW w:w="2929" w:type="dxa"/>
            <w:hideMark/>
          </w:tcPr>
          <w:p w:rsidR="00396A41" w:rsidRPr="000E432E" w:rsidRDefault="00396A41" w:rsidP="00921457">
            <w:pPr>
              <w:widowControl w:val="0"/>
              <w:autoSpaceDE w:val="0"/>
              <w:autoSpaceDN w:val="0"/>
              <w:adjustRightInd w:val="0"/>
              <w:jc w:val="center"/>
            </w:pPr>
            <w:r w:rsidRPr="000E432E">
              <w:t>(0.0487)</w:t>
            </w:r>
          </w:p>
        </w:tc>
      </w:tr>
      <w:tr w:rsidR="00396A41" w:rsidRPr="000E432E" w:rsidTr="00795E1D">
        <w:trPr>
          <w:jc w:val="center"/>
        </w:trPr>
        <w:tc>
          <w:tcPr>
            <w:tcW w:w="1428" w:type="dxa"/>
            <w:hideMark/>
          </w:tcPr>
          <w:p w:rsidR="00396A41" w:rsidRPr="000E432E" w:rsidRDefault="00396A41" w:rsidP="00921457">
            <w:pPr>
              <w:widowControl w:val="0"/>
              <w:autoSpaceDE w:val="0"/>
              <w:autoSpaceDN w:val="0"/>
              <w:adjustRightInd w:val="0"/>
            </w:pPr>
            <w:r w:rsidRPr="000E432E">
              <w:t>Mstatus</w:t>
            </w:r>
          </w:p>
        </w:tc>
        <w:tc>
          <w:tcPr>
            <w:tcW w:w="2970" w:type="dxa"/>
            <w:hideMark/>
          </w:tcPr>
          <w:p w:rsidR="00396A41" w:rsidRPr="000E432E" w:rsidRDefault="00396A41" w:rsidP="00921457">
            <w:pPr>
              <w:widowControl w:val="0"/>
              <w:autoSpaceDE w:val="0"/>
              <w:autoSpaceDN w:val="0"/>
              <w:adjustRightInd w:val="0"/>
              <w:jc w:val="center"/>
            </w:pPr>
            <w:r w:rsidRPr="000E432E">
              <w:t>-1.241**</w:t>
            </w:r>
          </w:p>
        </w:tc>
        <w:tc>
          <w:tcPr>
            <w:tcW w:w="2929" w:type="dxa"/>
            <w:hideMark/>
          </w:tcPr>
          <w:p w:rsidR="00396A41" w:rsidRPr="000E432E" w:rsidRDefault="00396A41" w:rsidP="00921457">
            <w:pPr>
              <w:widowControl w:val="0"/>
              <w:autoSpaceDE w:val="0"/>
              <w:autoSpaceDN w:val="0"/>
              <w:adjustRightInd w:val="0"/>
              <w:jc w:val="center"/>
            </w:pPr>
            <w:r w:rsidRPr="000E432E">
              <w:t>0.289**</w:t>
            </w:r>
          </w:p>
        </w:tc>
      </w:tr>
      <w:tr w:rsidR="00396A41" w:rsidRPr="000E432E" w:rsidTr="00795E1D">
        <w:trPr>
          <w:jc w:val="center"/>
        </w:trPr>
        <w:tc>
          <w:tcPr>
            <w:tcW w:w="1428" w:type="dxa"/>
          </w:tcPr>
          <w:p w:rsidR="00396A41" w:rsidRPr="000E432E" w:rsidRDefault="00396A41" w:rsidP="00921457">
            <w:pPr>
              <w:widowControl w:val="0"/>
              <w:autoSpaceDE w:val="0"/>
              <w:autoSpaceDN w:val="0"/>
              <w:adjustRightInd w:val="0"/>
            </w:pPr>
          </w:p>
        </w:tc>
        <w:tc>
          <w:tcPr>
            <w:tcW w:w="2970" w:type="dxa"/>
            <w:hideMark/>
          </w:tcPr>
          <w:p w:rsidR="00396A41" w:rsidRPr="000E432E" w:rsidRDefault="00396A41" w:rsidP="00921457">
            <w:pPr>
              <w:widowControl w:val="0"/>
              <w:autoSpaceDE w:val="0"/>
              <w:autoSpaceDN w:val="0"/>
              <w:adjustRightInd w:val="0"/>
              <w:jc w:val="center"/>
            </w:pPr>
            <w:r w:rsidRPr="000E432E">
              <w:t>(0.549)</w:t>
            </w:r>
          </w:p>
        </w:tc>
        <w:tc>
          <w:tcPr>
            <w:tcW w:w="2929" w:type="dxa"/>
            <w:hideMark/>
          </w:tcPr>
          <w:p w:rsidR="00396A41" w:rsidRPr="000E432E" w:rsidRDefault="00396A41" w:rsidP="00921457">
            <w:pPr>
              <w:widowControl w:val="0"/>
              <w:autoSpaceDE w:val="0"/>
              <w:autoSpaceDN w:val="0"/>
              <w:adjustRightInd w:val="0"/>
              <w:jc w:val="center"/>
            </w:pPr>
            <w:r w:rsidRPr="000E432E">
              <w:t>(0.159)</w:t>
            </w:r>
          </w:p>
        </w:tc>
      </w:tr>
      <w:tr w:rsidR="00396A41" w:rsidRPr="000E432E" w:rsidTr="00795E1D">
        <w:trPr>
          <w:jc w:val="center"/>
        </w:trPr>
        <w:tc>
          <w:tcPr>
            <w:tcW w:w="1428" w:type="dxa"/>
            <w:hideMark/>
          </w:tcPr>
          <w:p w:rsidR="00396A41" w:rsidRPr="000E432E" w:rsidRDefault="00396A41" w:rsidP="00921457">
            <w:pPr>
              <w:widowControl w:val="0"/>
              <w:autoSpaceDE w:val="0"/>
              <w:autoSpaceDN w:val="0"/>
              <w:adjustRightInd w:val="0"/>
            </w:pPr>
            <w:r w:rsidRPr="000E432E">
              <w:t>Gender</w:t>
            </w:r>
          </w:p>
        </w:tc>
        <w:tc>
          <w:tcPr>
            <w:tcW w:w="2970" w:type="dxa"/>
            <w:hideMark/>
          </w:tcPr>
          <w:p w:rsidR="00396A41" w:rsidRPr="000E432E" w:rsidRDefault="00396A41" w:rsidP="00921457">
            <w:pPr>
              <w:widowControl w:val="0"/>
              <w:autoSpaceDE w:val="0"/>
              <w:autoSpaceDN w:val="0"/>
              <w:adjustRightInd w:val="0"/>
              <w:jc w:val="center"/>
            </w:pPr>
            <w:r w:rsidRPr="000E432E">
              <w:t>1.376***</w:t>
            </w:r>
          </w:p>
        </w:tc>
        <w:tc>
          <w:tcPr>
            <w:tcW w:w="2929" w:type="dxa"/>
            <w:hideMark/>
          </w:tcPr>
          <w:p w:rsidR="00396A41" w:rsidRPr="000E432E" w:rsidRDefault="00396A41" w:rsidP="00921457">
            <w:pPr>
              <w:widowControl w:val="0"/>
              <w:autoSpaceDE w:val="0"/>
              <w:autoSpaceDN w:val="0"/>
              <w:adjustRightInd w:val="0"/>
              <w:jc w:val="center"/>
            </w:pPr>
            <w:r w:rsidRPr="000E432E">
              <w:t>3.960***</w:t>
            </w:r>
          </w:p>
        </w:tc>
      </w:tr>
      <w:tr w:rsidR="00396A41" w:rsidRPr="000E432E" w:rsidTr="00795E1D">
        <w:trPr>
          <w:jc w:val="center"/>
        </w:trPr>
        <w:tc>
          <w:tcPr>
            <w:tcW w:w="1428" w:type="dxa"/>
          </w:tcPr>
          <w:p w:rsidR="00396A41" w:rsidRPr="000E432E" w:rsidRDefault="00396A41" w:rsidP="00921457">
            <w:pPr>
              <w:widowControl w:val="0"/>
              <w:autoSpaceDE w:val="0"/>
              <w:autoSpaceDN w:val="0"/>
              <w:adjustRightInd w:val="0"/>
            </w:pPr>
          </w:p>
        </w:tc>
        <w:tc>
          <w:tcPr>
            <w:tcW w:w="2970" w:type="dxa"/>
            <w:hideMark/>
          </w:tcPr>
          <w:p w:rsidR="00396A41" w:rsidRPr="000E432E" w:rsidRDefault="00396A41" w:rsidP="00921457">
            <w:pPr>
              <w:widowControl w:val="0"/>
              <w:autoSpaceDE w:val="0"/>
              <w:autoSpaceDN w:val="0"/>
              <w:adjustRightInd w:val="0"/>
              <w:jc w:val="center"/>
            </w:pPr>
            <w:r w:rsidRPr="000E432E">
              <w:t>(0.532)</w:t>
            </w:r>
          </w:p>
        </w:tc>
        <w:tc>
          <w:tcPr>
            <w:tcW w:w="2929" w:type="dxa"/>
            <w:hideMark/>
          </w:tcPr>
          <w:p w:rsidR="00396A41" w:rsidRPr="000E432E" w:rsidRDefault="00396A41" w:rsidP="00921457">
            <w:pPr>
              <w:widowControl w:val="0"/>
              <w:autoSpaceDE w:val="0"/>
              <w:autoSpaceDN w:val="0"/>
              <w:adjustRightInd w:val="0"/>
              <w:jc w:val="center"/>
            </w:pPr>
            <w:r w:rsidRPr="000E432E">
              <w:t>(2.105)</w:t>
            </w:r>
          </w:p>
        </w:tc>
      </w:tr>
      <w:tr w:rsidR="00396A41" w:rsidRPr="000E432E" w:rsidTr="00795E1D">
        <w:trPr>
          <w:jc w:val="center"/>
        </w:trPr>
        <w:tc>
          <w:tcPr>
            <w:tcW w:w="1428" w:type="dxa"/>
            <w:hideMark/>
          </w:tcPr>
          <w:p w:rsidR="00396A41" w:rsidRPr="000E432E" w:rsidRDefault="00396A41" w:rsidP="00921457">
            <w:pPr>
              <w:widowControl w:val="0"/>
              <w:autoSpaceDE w:val="0"/>
              <w:autoSpaceDN w:val="0"/>
              <w:adjustRightInd w:val="0"/>
            </w:pPr>
            <w:r w:rsidRPr="000E432E">
              <w:t xml:space="preserve">Current_facility_amount </w:t>
            </w:r>
          </w:p>
        </w:tc>
        <w:tc>
          <w:tcPr>
            <w:tcW w:w="2970" w:type="dxa"/>
            <w:hideMark/>
          </w:tcPr>
          <w:p w:rsidR="00396A41" w:rsidRPr="000E432E" w:rsidRDefault="00396A41" w:rsidP="00921457">
            <w:pPr>
              <w:widowControl w:val="0"/>
              <w:autoSpaceDE w:val="0"/>
              <w:autoSpaceDN w:val="0"/>
              <w:adjustRightInd w:val="0"/>
              <w:jc w:val="center"/>
            </w:pPr>
            <w:r w:rsidRPr="000E432E">
              <w:t>3.24e-06***</w:t>
            </w:r>
          </w:p>
        </w:tc>
        <w:tc>
          <w:tcPr>
            <w:tcW w:w="2929" w:type="dxa"/>
            <w:hideMark/>
          </w:tcPr>
          <w:p w:rsidR="00396A41" w:rsidRPr="000E432E" w:rsidRDefault="00396A41" w:rsidP="00921457">
            <w:pPr>
              <w:widowControl w:val="0"/>
              <w:autoSpaceDE w:val="0"/>
              <w:autoSpaceDN w:val="0"/>
              <w:adjustRightInd w:val="0"/>
              <w:jc w:val="center"/>
            </w:pPr>
            <w:r w:rsidRPr="000E432E">
              <w:t>1.000***</w:t>
            </w:r>
          </w:p>
        </w:tc>
      </w:tr>
      <w:tr w:rsidR="00396A41" w:rsidRPr="000E432E" w:rsidTr="00795E1D">
        <w:trPr>
          <w:jc w:val="center"/>
        </w:trPr>
        <w:tc>
          <w:tcPr>
            <w:tcW w:w="1428" w:type="dxa"/>
          </w:tcPr>
          <w:p w:rsidR="00396A41" w:rsidRPr="000E432E" w:rsidRDefault="00396A41" w:rsidP="00921457">
            <w:pPr>
              <w:widowControl w:val="0"/>
              <w:autoSpaceDE w:val="0"/>
              <w:autoSpaceDN w:val="0"/>
              <w:adjustRightInd w:val="0"/>
            </w:pPr>
          </w:p>
        </w:tc>
        <w:tc>
          <w:tcPr>
            <w:tcW w:w="2970" w:type="dxa"/>
            <w:hideMark/>
          </w:tcPr>
          <w:p w:rsidR="00396A41" w:rsidRPr="000E432E" w:rsidRDefault="00396A41" w:rsidP="00921457">
            <w:pPr>
              <w:widowControl w:val="0"/>
              <w:autoSpaceDE w:val="0"/>
              <w:autoSpaceDN w:val="0"/>
              <w:adjustRightInd w:val="0"/>
              <w:jc w:val="center"/>
            </w:pPr>
            <w:r w:rsidRPr="000E432E">
              <w:t>(1.14e-06)</w:t>
            </w:r>
          </w:p>
        </w:tc>
        <w:tc>
          <w:tcPr>
            <w:tcW w:w="2929" w:type="dxa"/>
            <w:hideMark/>
          </w:tcPr>
          <w:p w:rsidR="00396A41" w:rsidRPr="000E432E" w:rsidRDefault="00396A41" w:rsidP="00921457">
            <w:pPr>
              <w:widowControl w:val="0"/>
              <w:autoSpaceDE w:val="0"/>
              <w:autoSpaceDN w:val="0"/>
              <w:adjustRightInd w:val="0"/>
              <w:jc w:val="center"/>
            </w:pPr>
            <w:r w:rsidRPr="000E432E">
              <w:t>(1.14e-06)</w:t>
            </w:r>
          </w:p>
        </w:tc>
      </w:tr>
      <w:tr w:rsidR="00396A41" w:rsidRPr="000E432E" w:rsidTr="00795E1D">
        <w:trPr>
          <w:jc w:val="center"/>
        </w:trPr>
        <w:tc>
          <w:tcPr>
            <w:tcW w:w="1428" w:type="dxa"/>
            <w:hideMark/>
          </w:tcPr>
          <w:p w:rsidR="00396A41" w:rsidRPr="000E432E" w:rsidRDefault="00396A41" w:rsidP="00921457">
            <w:pPr>
              <w:widowControl w:val="0"/>
              <w:autoSpaceDE w:val="0"/>
              <w:autoSpaceDN w:val="0"/>
              <w:adjustRightInd w:val="0"/>
            </w:pPr>
            <w:r w:rsidRPr="000E432E">
              <w:t>no_repay_instalments</w:t>
            </w:r>
          </w:p>
        </w:tc>
        <w:tc>
          <w:tcPr>
            <w:tcW w:w="2970" w:type="dxa"/>
            <w:hideMark/>
          </w:tcPr>
          <w:p w:rsidR="00396A41" w:rsidRPr="000E432E" w:rsidRDefault="00396A41" w:rsidP="00921457">
            <w:pPr>
              <w:widowControl w:val="0"/>
              <w:autoSpaceDE w:val="0"/>
              <w:autoSpaceDN w:val="0"/>
              <w:adjustRightInd w:val="0"/>
              <w:jc w:val="center"/>
            </w:pPr>
            <w:r w:rsidRPr="000E432E">
              <w:t>-0.161***</w:t>
            </w:r>
          </w:p>
        </w:tc>
        <w:tc>
          <w:tcPr>
            <w:tcW w:w="2929" w:type="dxa"/>
            <w:hideMark/>
          </w:tcPr>
          <w:p w:rsidR="00396A41" w:rsidRPr="000E432E" w:rsidRDefault="00396A41" w:rsidP="00921457">
            <w:pPr>
              <w:widowControl w:val="0"/>
              <w:autoSpaceDE w:val="0"/>
              <w:autoSpaceDN w:val="0"/>
              <w:adjustRightInd w:val="0"/>
              <w:jc w:val="center"/>
            </w:pPr>
            <w:r w:rsidRPr="000E432E">
              <w:t>0.851***</w:t>
            </w:r>
          </w:p>
        </w:tc>
      </w:tr>
      <w:tr w:rsidR="00396A41" w:rsidRPr="000E432E" w:rsidTr="00795E1D">
        <w:trPr>
          <w:jc w:val="center"/>
        </w:trPr>
        <w:tc>
          <w:tcPr>
            <w:tcW w:w="1428" w:type="dxa"/>
          </w:tcPr>
          <w:p w:rsidR="00396A41" w:rsidRPr="000E432E" w:rsidRDefault="00396A41" w:rsidP="00921457">
            <w:pPr>
              <w:widowControl w:val="0"/>
              <w:autoSpaceDE w:val="0"/>
              <w:autoSpaceDN w:val="0"/>
              <w:adjustRightInd w:val="0"/>
            </w:pPr>
          </w:p>
        </w:tc>
        <w:tc>
          <w:tcPr>
            <w:tcW w:w="2970" w:type="dxa"/>
            <w:hideMark/>
          </w:tcPr>
          <w:p w:rsidR="00396A41" w:rsidRPr="000E432E" w:rsidRDefault="00396A41" w:rsidP="00921457">
            <w:pPr>
              <w:widowControl w:val="0"/>
              <w:autoSpaceDE w:val="0"/>
              <w:autoSpaceDN w:val="0"/>
              <w:adjustRightInd w:val="0"/>
              <w:jc w:val="center"/>
            </w:pPr>
            <w:r w:rsidRPr="000E432E">
              <w:t>(0.0493)</w:t>
            </w:r>
          </w:p>
        </w:tc>
        <w:tc>
          <w:tcPr>
            <w:tcW w:w="2929" w:type="dxa"/>
            <w:hideMark/>
          </w:tcPr>
          <w:p w:rsidR="00396A41" w:rsidRPr="000E432E" w:rsidRDefault="00396A41" w:rsidP="00921457">
            <w:pPr>
              <w:widowControl w:val="0"/>
              <w:autoSpaceDE w:val="0"/>
              <w:autoSpaceDN w:val="0"/>
              <w:adjustRightInd w:val="0"/>
              <w:jc w:val="center"/>
            </w:pPr>
            <w:r w:rsidRPr="000E432E">
              <w:t>(0.0419)</w:t>
            </w:r>
          </w:p>
        </w:tc>
      </w:tr>
      <w:tr w:rsidR="00396A41" w:rsidRPr="000E432E" w:rsidTr="00795E1D">
        <w:trPr>
          <w:jc w:val="center"/>
        </w:trPr>
        <w:tc>
          <w:tcPr>
            <w:tcW w:w="1428" w:type="dxa"/>
            <w:hideMark/>
          </w:tcPr>
          <w:p w:rsidR="00396A41" w:rsidRPr="000E432E" w:rsidRDefault="00396A41" w:rsidP="00921457">
            <w:pPr>
              <w:widowControl w:val="0"/>
              <w:autoSpaceDE w:val="0"/>
              <w:autoSpaceDN w:val="0"/>
              <w:adjustRightInd w:val="0"/>
            </w:pPr>
            <w:r w:rsidRPr="000E432E">
              <w:t>Location</w:t>
            </w:r>
          </w:p>
        </w:tc>
        <w:tc>
          <w:tcPr>
            <w:tcW w:w="2970" w:type="dxa"/>
            <w:hideMark/>
          </w:tcPr>
          <w:p w:rsidR="00396A41" w:rsidRPr="000E432E" w:rsidRDefault="00396A41" w:rsidP="00921457">
            <w:pPr>
              <w:widowControl w:val="0"/>
              <w:autoSpaceDE w:val="0"/>
              <w:autoSpaceDN w:val="0"/>
              <w:adjustRightInd w:val="0"/>
              <w:jc w:val="center"/>
            </w:pPr>
            <w:r w:rsidRPr="000E432E">
              <w:t>-0.166</w:t>
            </w:r>
          </w:p>
        </w:tc>
        <w:tc>
          <w:tcPr>
            <w:tcW w:w="2929" w:type="dxa"/>
            <w:hideMark/>
          </w:tcPr>
          <w:p w:rsidR="00396A41" w:rsidRPr="000E432E" w:rsidRDefault="00396A41" w:rsidP="00921457">
            <w:pPr>
              <w:widowControl w:val="0"/>
              <w:autoSpaceDE w:val="0"/>
              <w:autoSpaceDN w:val="0"/>
              <w:adjustRightInd w:val="0"/>
              <w:jc w:val="center"/>
            </w:pPr>
            <w:r w:rsidRPr="000E432E">
              <w:t>0.847</w:t>
            </w:r>
          </w:p>
        </w:tc>
      </w:tr>
      <w:tr w:rsidR="00396A41" w:rsidRPr="000E432E" w:rsidTr="00795E1D">
        <w:trPr>
          <w:jc w:val="center"/>
        </w:trPr>
        <w:tc>
          <w:tcPr>
            <w:tcW w:w="1428" w:type="dxa"/>
          </w:tcPr>
          <w:p w:rsidR="00396A41" w:rsidRPr="000E432E" w:rsidRDefault="00396A41" w:rsidP="00921457">
            <w:pPr>
              <w:widowControl w:val="0"/>
              <w:autoSpaceDE w:val="0"/>
              <w:autoSpaceDN w:val="0"/>
              <w:adjustRightInd w:val="0"/>
            </w:pPr>
          </w:p>
        </w:tc>
        <w:tc>
          <w:tcPr>
            <w:tcW w:w="2970" w:type="dxa"/>
            <w:hideMark/>
          </w:tcPr>
          <w:p w:rsidR="00396A41" w:rsidRPr="000E432E" w:rsidRDefault="00396A41" w:rsidP="00921457">
            <w:pPr>
              <w:widowControl w:val="0"/>
              <w:autoSpaceDE w:val="0"/>
              <w:autoSpaceDN w:val="0"/>
              <w:adjustRightInd w:val="0"/>
              <w:jc w:val="center"/>
            </w:pPr>
            <w:r w:rsidRPr="000E432E">
              <w:t>(0.522)</w:t>
            </w:r>
          </w:p>
        </w:tc>
        <w:tc>
          <w:tcPr>
            <w:tcW w:w="2929" w:type="dxa"/>
            <w:hideMark/>
          </w:tcPr>
          <w:p w:rsidR="00396A41" w:rsidRPr="000E432E" w:rsidRDefault="00396A41" w:rsidP="00921457">
            <w:pPr>
              <w:widowControl w:val="0"/>
              <w:autoSpaceDE w:val="0"/>
              <w:autoSpaceDN w:val="0"/>
              <w:adjustRightInd w:val="0"/>
              <w:jc w:val="center"/>
            </w:pPr>
            <w:r w:rsidRPr="000E432E">
              <w:t>(0.442)</w:t>
            </w:r>
          </w:p>
        </w:tc>
      </w:tr>
      <w:tr w:rsidR="00396A41" w:rsidRPr="000E432E" w:rsidTr="00795E1D">
        <w:trPr>
          <w:jc w:val="center"/>
        </w:trPr>
        <w:tc>
          <w:tcPr>
            <w:tcW w:w="1428" w:type="dxa"/>
            <w:hideMark/>
          </w:tcPr>
          <w:p w:rsidR="00396A41" w:rsidRPr="000E432E" w:rsidRDefault="00396A41" w:rsidP="00921457">
            <w:pPr>
              <w:widowControl w:val="0"/>
              <w:autoSpaceDE w:val="0"/>
              <w:autoSpaceDN w:val="0"/>
              <w:adjustRightInd w:val="0"/>
            </w:pPr>
            <w:r w:rsidRPr="000E432E">
              <w:t>Years of business experience</w:t>
            </w:r>
          </w:p>
        </w:tc>
        <w:tc>
          <w:tcPr>
            <w:tcW w:w="2970" w:type="dxa"/>
            <w:hideMark/>
          </w:tcPr>
          <w:p w:rsidR="00396A41" w:rsidRPr="000E432E" w:rsidRDefault="00396A41" w:rsidP="00921457">
            <w:pPr>
              <w:widowControl w:val="0"/>
              <w:autoSpaceDE w:val="0"/>
              <w:autoSpaceDN w:val="0"/>
              <w:adjustRightInd w:val="0"/>
              <w:jc w:val="center"/>
            </w:pPr>
            <w:r w:rsidRPr="000E432E">
              <w:t>-0.0295</w:t>
            </w:r>
          </w:p>
        </w:tc>
        <w:tc>
          <w:tcPr>
            <w:tcW w:w="2929" w:type="dxa"/>
            <w:hideMark/>
          </w:tcPr>
          <w:p w:rsidR="00396A41" w:rsidRPr="000E432E" w:rsidRDefault="00396A41" w:rsidP="00921457">
            <w:pPr>
              <w:widowControl w:val="0"/>
              <w:autoSpaceDE w:val="0"/>
              <w:autoSpaceDN w:val="0"/>
              <w:adjustRightInd w:val="0"/>
              <w:jc w:val="center"/>
            </w:pPr>
            <w:r w:rsidRPr="000E432E">
              <w:t>0.971</w:t>
            </w:r>
          </w:p>
        </w:tc>
      </w:tr>
      <w:tr w:rsidR="00396A41" w:rsidRPr="000E432E" w:rsidTr="00795E1D">
        <w:trPr>
          <w:jc w:val="center"/>
        </w:trPr>
        <w:tc>
          <w:tcPr>
            <w:tcW w:w="1428" w:type="dxa"/>
          </w:tcPr>
          <w:p w:rsidR="00396A41" w:rsidRPr="000E432E" w:rsidRDefault="00396A41" w:rsidP="00921457">
            <w:pPr>
              <w:widowControl w:val="0"/>
              <w:autoSpaceDE w:val="0"/>
              <w:autoSpaceDN w:val="0"/>
              <w:adjustRightInd w:val="0"/>
            </w:pPr>
          </w:p>
        </w:tc>
        <w:tc>
          <w:tcPr>
            <w:tcW w:w="2970" w:type="dxa"/>
            <w:hideMark/>
          </w:tcPr>
          <w:p w:rsidR="00396A41" w:rsidRPr="000E432E" w:rsidRDefault="00396A41" w:rsidP="00921457">
            <w:pPr>
              <w:widowControl w:val="0"/>
              <w:autoSpaceDE w:val="0"/>
              <w:autoSpaceDN w:val="0"/>
              <w:adjustRightInd w:val="0"/>
              <w:jc w:val="center"/>
            </w:pPr>
            <w:r w:rsidRPr="000E432E">
              <w:t>(0.0873)</w:t>
            </w:r>
          </w:p>
        </w:tc>
        <w:tc>
          <w:tcPr>
            <w:tcW w:w="2929" w:type="dxa"/>
            <w:hideMark/>
          </w:tcPr>
          <w:p w:rsidR="00396A41" w:rsidRPr="000E432E" w:rsidRDefault="00396A41" w:rsidP="00921457">
            <w:pPr>
              <w:widowControl w:val="0"/>
              <w:autoSpaceDE w:val="0"/>
              <w:autoSpaceDN w:val="0"/>
              <w:adjustRightInd w:val="0"/>
              <w:jc w:val="center"/>
            </w:pPr>
            <w:r w:rsidRPr="000E432E">
              <w:t>(0.0848)</w:t>
            </w:r>
          </w:p>
        </w:tc>
      </w:tr>
      <w:tr w:rsidR="00396A41" w:rsidRPr="000E432E" w:rsidTr="00795E1D">
        <w:trPr>
          <w:jc w:val="center"/>
        </w:trPr>
        <w:tc>
          <w:tcPr>
            <w:tcW w:w="1428" w:type="dxa"/>
            <w:hideMark/>
          </w:tcPr>
          <w:p w:rsidR="00396A41" w:rsidRPr="000E432E" w:rsidRDefault="00396A41" w:rsidP="00921457">
            <w:pPr>
              <w:widowControl w:val="0"/>
              <w:autoSpaceDE w:val="0"/>
              <w:autoSpaceDN w:val="0"/>
              <w:adjustRightInd w:val="0"/>
            </w:pPr>
            <w:r w:rsidRPr="000E432E">
              <w:t>total_income_b4_ni_fs</w:t>
            </w:r>
          </w:p>
        </w:tc>
        <w:tc>
          <w:tcPr>
            <w:tcW w:w="2970" w:type="dxa"/>
            <w:hideMark/>
          </w:tcPr>
          <w:p w:rsidR="00396A41" w:rsidRPr="000E432E" w:rsidRDefault="00396A41" w:rsidP="00921457">
            <w:pPr>
              <w:widowControl w:val="0"/>
              <w:autoSpaceDE w:val="0"/>
              <w:autoSpaceDN w:val="0"/>
              <w:adjustRightInd w:val="0"/>
              <w:jc w:val="center"/>
            </w:pPr>
            <w:r w:rsidRPr="000E432E">
              <w:t>-6.20e-05***</w:t>
            </w:r>
          </w:p>
        </w:tc>
        <w:tc>
          <w:tcPr>
            <w:tcW w:w="2929" w:type="dxa"/>
            <w:hideMark/>
          </w:tcPr>
          <w:p w:rsidR="00396A41" w:rsidRPr="000E432E" w:rsidRDefault="00396A41" w:rsidP="00921457">
            <w:pPr>
              <w:widowControl w:val="0"/>
              <w:autoSpaceDE w:val="0"/>
              <w:autoSpaceDN w:val="0"/>
              <w:adjustRightInd w:val="0"/>
              <w:jc w:val="center"/>
            </w:pPr>
            <w:r w:rsidRPr="000E432E">
              <w:t>1.000***</w:t>
            </w:r>
          </w:p>
        </w:tc>
      </w:tr>
      <w:tr w:rsidR="00396A41" w:rsidRPr="000E432E" w:rsidTr="00795E1D">
        <w:trPr>
          <w:jc w:val="center"/>
        </w:trPr>
        <w:tc>
          <w:tcPr>
            <w:tcW w:w="1428" w:type="dxa"/>
          </w:tcPr>
          <w:p w:rsidR="00396A41" w:rsidRPr="000E432E" w:rsidRDefault="00396A41" w:rsidP="00921457">
            <w:pPr>
              <w:widowControl w:val="0"/>
              <w:autoSpaceDE w:val="0"/>
              <w:autoSpaceDN w:val="0"/>
              <w:adjustRightInd w:val="0"/>
            </w:pPr>
          </w:p>
        </w:tc>
        <w:tc>
          <w:tcPr>
            <w:tcW w:w="2970" w:type="dxa"/>
            <w:hideMark/>
          </w:tcPr>
          <w:p w:rsidR="00396A41" w:rsidRPr="000E432E" w:rsidRDefault="00396A41" w:rsidP="00921457">
            <w:pPr>
              <w:widowControl w:val="0"/>
              <w:autoSpaceDE w:val="0"/>
              <w:autoSpaceDN w:val="0"/>
              <w:adjustRightInd w:val="0"/>
              <w:jc w:val="center"/>
            </w:pPr>
            <w:r w:rsidRPr="000E432E">
              <w:t>(1.87e-05)</w:t>
            </w:r>
          </w:p>
        </w:tc>
        <w:tc>
          <w:tcPr>
            <w:tcW w:w="2929" w:type="dxa"/>
            <w:hideMark/>
          </w:tcPr>
          <w:p w:rsidR="00396A41" w:rsidRPr="000E432E" w:rsidRDefault="00396A41" w:rsidP="00921457">
            <w:pPr>
              <w:widowControl w:val="0"/>
              <w:autoSpaceDE w:val="0"/>
              <w:autoSpaceDN w:val="0"/>
              <w:adjustRightInd w:val="0"/>
              <w:jc w:val="center"/>
            </w:pPr>
            <w:r w:rsidRPr="000E432E">
              <w:t>(1.87e-05)</w:t>
            </w:r>
          </w:p>
        </w:tc>
      </w:tr>
      <w:tr w:rsidR="00396A41" w:rsidRPr="000E432E" w:rsidTr="00795E1D">
        <w:trPr>
          <w:jc w:val="center"/>
        </w:trPr>
        <w:tc>
          <w:tcPr>
            <w:tcW w:w="1428" w:type="dxa"/>
            <w:hideMark/>
          </w:tcPr>
          <w:p w:rsidR="00396A41" w:rsidRPr="000E432E" w:rsidRDefault="00396A41" w:rsidP="00921457">
            <w:pPr>
              <w:widowControl w:val="0"/>
              <w:autoSpaceDE w:val="0"/>
              <w:autoSpaceDN w:val="0"/>
              <w:adjustRightInd w:val="0"/>
            </w:pPr>
            <w:r w:rsidRPr="000E432E">
              <w:t>total_income_after_ni_fs</w:t>
            </w:r>
          </w:p>
        </w:tc>
        <w:tc>
          <w:tcPr>
            <w:tcW w:w="2970" w:type="dxa"/>
            <w:hideMark/>
          </w:tcPr>
          <w:p w:rsidR="00396A41" w:rsidRPr="000E432E" w:rsidRDefault="00396A41" w:rsidP="00921457">
            <w:pPr>
              <w:widowControl w:val="0"/>
              <w:autoSpaceDE w:val="0"/>
              <w:autoSpaceDN w:val="0"/>
              <w:adjustRightInd w:val="0"/>
              <w:jc w:val="center"/>
            </w:pPr>
            <w:r w:rsidRPr="000E432E">
              <w:t>5.66e-05***</w:t>
            </w:r>
          </w:p>
        </w:tc>
        <w:tc>
          <w:tcPr>
            <w:tcW w:w="2929" w:type="dxa"/>
            <w:hideMark/>
          </w:tcPr>
          <w:p w:rsidR="00396A41" w:rsidRPr="000E432E" w:rsidRDefault="00396A41" w:rsidP="00921457">
            <w:pPr>
              <w:widowControl w:val="0"/>
              <w:autoSpaceDE w:val="0"/>
              <w:autoSpaceDN w:val="0"/>
              <w:adjustRightInd w:val="0"/>
              <w:jc w:val="center"/>
            </w:pPr>
            <w:r w:rsidRPr="000E432E">
              <w:t>1.000***</w:t>
            </w:r>
          </w:p>
        </w:tc>
      </w:tr>
      <w:tr w:rsidR="00396A41" w:rsidRPr="000E432E" w:rsidTr="00795E1D">
        <w:trPr>
          <w:jc w:val="center"/>
        </w:trPr>
        <w:tc>
          <w:tcPr>
            <w:tcW w:w="1428" w:type="dxa"/>
          </w:tcPr>
          <w:p w:rsidR="00396A41" w:rsidRPr="000E432E" w:rsidRDefault="00396A41" w:rsidP="00921457">
            <w:pPr>
              <w:widowControl w:val="0"/>
              <w:autoSpaceDE w:val="0"/>
              <w:autoSpaceDN w:val="0"/>
              <w:adjustRightInd w:val="0"/>
            </w:pPr>
          </w:p>
        </w:tc>
        <w:tc>
          <w:tcPr>
            <w:tcW w:w="2970" w:type="dxa"/>
            <w:hideMark/>
          </w:tcPr>
          <w:p w:rsidR="00396A41" w:rsidRPr="000E432E" w:rsidRDefault="00396A41" w:rsidP="00921457">
            <w:pPr>
              <w:widowControl w:val="0"/>
              <w:autoSpaceDE w:val="0"/>
              <w:autoSpaceDN w:val="0"/>
              <w:adjustRightInd w:val="0"/>
              <w:jc w:val="center"/>
            </w:pPr>
            <w:r w:rsidRPr="000E432E">
              <w:t>(1.85e-05)</w:t>
            </w:r>
          </w:p>
        </w:tc>
        <w:tc>
          <w:tcPr>
            <w:tcW w:w="2929" w:type="dxa"/>
            <w:hideMark/>
          </w:tcPr>
          <w:p w:rsidR="00396A41" w:rsidRPr="000E432E" w:rsidRDefault="00396A41" w:rsidP="00921457">
            <w:pPr>
              <w:widowControl w:val="0"/>
              <w:autoSpaceDE w:val="0"/>
              <w:autoSpaceDN w:val="0"/>
              <w:adjustRightInd w:val="0"/>
              <w:jc w:val="center"/>
            </w:pPr>
            <w:r w:rsidRPr="000E432E">
              <w:t>(1.85e-05)</w:t>
            </w:r>
          </w:p>
        </w:tc>
      </w:tr>
      <w:tr w:rsidR="00396A41" w:rsidRPr="000E432E" w:rsidTr="00795E1D">
        <w:trPr>
          <w:jc w:val="center"/>
        </w:trPr>
        <w:tc>
          <w:tcPr>
            <w:tcW w:w="1428" w:type="dxa"/>
            <w:hideMark/>
          </w:tcPr>
          <w:p w:rsidR="00396A41" w:rsidRPr="000E432E" w:rsidRDefault="00396A41" w:rsidP="00921457">
            <w:pPr>
              <w:widowControl w:val="0"/>
              <w:autoSpaceDE w:val="0"/>
              <w:autoSpaceDN w:val="0"/>
              <w:adjustRightInd w:val="0"/>
            </w:pPr>
            <w:r w:rsidRPr="000E432E">
              <w:t>investment_in_ni_fi</w:t>
            </w:r>
          </w:p>
        </w:tc>
        <w:tc>
          <w:tcPr>
            <w:tcW w:w="2970" w:type="dxa"/>
            <w:hideMark/>
          </w:tcPr>
          <w:p w:rsidR="00396A41" w:rsidRPr="000E432E" w:rsidRDefault="00396A41" w:rsidP="00921457">
            <w:pPr>
              <w:widowControl w:val="0"/>
              <w:autoSpaceDE w:val="0"/>
              <w:autoSpaceDN w:val="0"/>
              <w:adjustRightInd w:val="0"/>
              <w:jc w:val="center"/>
            </w:pPr>
            <w:r w:rsidRPr="000E432E">
              <w:t>-0.636</w:t>
            </w:r>
          </w:p>
        </w:tc>
        <w:tc>
          <w:tcPr>
            <w:tcW w:w="2929" w:type="dxa"/>
            <w:hideMark/>
          </w:tcPr>
          <w:p w:rsidR="00396A41" w:rsidRPr="000E432E" w:rsidRDefault="00396A41" w:rsidP="00921457">
            <w:pPr>
              <w:widowControl w:val="0"/>
              <w:autoSpaceDE w:val="0"/>
              <w:autoSpaceDN w:val="0"/>
              <w:adjustRightInd w:val="0"/>
              <w:jc w:val="center"/>
            </w:pPr>
            <w:r w:rsidRPr="000E432E">
              <w:t>0.530</w:t>
            </w:r>
          </w:p>
        </w:tc>
      </w:tr>
      <w:tr w:rsidR="00396A41" w:rsidRPr="000E432E" w:rsidTr="00795E1D">
        <w:trPr>
          <w:jc w:val="center"/>
        </w:trPr>
        <w:tc>
          <w:tcPr>
            <w:tcW w:w="1428" w:type="dxa"/>
          </w:tcPr>
          <w:p w:rsidR="00396A41" w:rsidRPr="000E432E" w:rsidRDefault="00396A41" w:rsidP="00921457">
            <w:pPr>
              <w:widowControl w:val="0"/>
              <w:autoSpaceDE w:val="0"/>
              <w:autoSpaceDN w:val="0"/>
              <w:adjustRightInd w:val="0"/>
            </w:pPr>
          </w:p>
        </w:tc>
        <w:tc>
          <w:tcPr>
            <w:tcW w:w="2970" w:type="dxa"/>
            <w:hideMark/>
          </w:tcPr>
          <w:p w:rsidR="00396A41" w:rsidRPr="000E432E" w:rsidRDefault="00396A41" w:rsidP="00921457">
            <w:pPr>
              <w:widowControl w:val="0"/>
              <w:autoSpaceDE w:val="0"/>
              <w:autoSpaceDN w:val="0"/>
              <w:adjustRightInd w:val="0"/>
              <w:jc w:val="center"/>
            </w:pPr>
            <w:r w:rsidRPr="000E432E">
              <w:t>(0.556)</w:t>
            </w:r>
          </w:p>
        </w:tc>
        <w:tc>
          <w:tcPr>
            <w:tcW w:w="2929" w:type="dxa"/>
            <w:hideMark/>
          </w:tcPr>
          <w:p w:rsidR="00396A41" w:rsidRPr="000E432E" w:rsidRDefault="00396A41" w:rsidP="00921457">
            <w:pPr>
              <w:widowControl w:val="0"/>
              <w:autoSpaceDE w:val="0"/>
              <w:autoSpaceDN w:val="0"/>
              <w:adjustRightInd w:val="0"/>
              <w:jc w:val="center"/>
            </w:pPr>
            <w:r w:rsidRPr="000E432E">
              <w:t>(0.294)</w:t>
            </w:r>
          </w:p>
        </w:tc>
      </w:tr>
      <w:tr w:rsidR="00396A41" w:rsidRPr="000E432E" w:rsidTr="00795E1D">
        <w:trPr>
          <w:jc w:val="center"/>
        </w:trPr>
        <w:tc>
          <w:tcPr>
            <w:tcW w:w="1428" w:type="dxa"/>
            <w:hideMark/>
          </w:tcPr>
          <w:p w:rsidR="00396A41" w:rsidRPr="000E432E" w:rsidRDefault="00396A41" w:rsidP="00921457">
            <w:pPr>
              <w:widowControl w:val="0"/>
              <w:autoSpaceDE w:val="0"/>
              <w:autoSpaceDN w:val="0"/>
              <w:adjustRightInd w:val="0"/>
            </w:pPr>
            <w:r w:rsidRPr="000E432E">
              <w:t>no_tmes_ni_facility_obtained</w:t>
            </w:r>
          </w:p>
        </w:tc>
        <w:tc>
          <w:tcPr>
            <w:tcW w:w="2970" w:type="dxa"/>
            <w:hideMark/>
          </w:tcPr>
          <w:p w:rsidR="00396A41" w:rsidRPr="000E432E" w:rsidRDefault="00396A41" w:rsidP="00921457">
            <w:pPr>
              <w:widowControl w:val="0"/>
              <w:autoSpaceDE w:val="0"/>
              <w:autoSpaceDN w:val="0"/>
              <w:adjustRightInd w:val="0"/>
              <w:jc w:val="center"/>
            </w:pPr>
            <w:r w:rsidRPr="000E432E">
              <w:t>-0.614</w:t>
            </w:r>
          </w:p>
        </w:tc>
        <w:tc>
          <w:tcPr>
            <w:tcW w:w="2929" w:type="dxa"/>
            <w:hideMark/>
          </w:tcPr>
          <w:p w:rsidR="00396A41" w:rsidRPr="000E432E" w:rsidRDefault="00396A41" w:rsidP="00921457">
            <w:pPr>
              <w:widowControl w:val="0"/>
              <w:autoSpaceDE w:val="0"/>
              <w:autoSpaceDN w:val="0"/>
              <w:adjustRightInd w:val="0"/>
              <w:jc w:val="center"/>
            </w:pPr>
            <w:r w:rsidRPr="000E432E">
              <w:t>0.541</w:t>
            </w:r>
          </w:p>
        </w:tc>
      </w:tr>
      <w:tr w:rsidR="00396A41" w:rsidRPr="000E432E" w:rsidTr="00795E1D">
        <w:trPr>
          <w:jc w:val="center"/>
        </w:trPr>
        <w:tc>
          <w:tcPr>
            <w:tcW w:w="1428" w:type="dxa"/>
          </w:tcPr>
          <w:p w:rsidR="00396A41" w:rsidRPr="000E432E" w:rsidRDefault="00396A41" w:rsidP="00921457">
            <w:pPr>
              <w:widowControl w:val="0"/>
              <w:autoSpaceDE w:val="0"/>
              <w:autoSpaceDN w:val="0"/>
              <w:adjustRightInd w:val="0"/>
            </w:pPr>
          </w:p>
        </w:tc>
        <w:tc>
          <w:tcPr>
            <w:tcW w:w="2970" w:type="dxa"/>
            <w:hideMark/>
          </w:tcPr>
          <w:p w:rsidR="00396A41" w:rsidRPr="000E432E" w:rsidRDefault="00396A41" w:rsidP="00921457">
            <w:pPr>
              <w:widowControl w:val="0"/>
              <w:autoSpaceDE w:val="0"/>
              <w:autoSpaceDN w:val="0"/>
              <w:adjustRightInd w:val="0"/>
              <w:jc w:val="center"/>
            </w:pPr>
            <w:r w:rsidRPr="000E432E">
              <w:t>(0.389)</w:t>
            </w:r>
          </w:p>
        </w:tc>
        <w:tc>
          <w:tcPr>
            <w:tcW w:w="2929" w:type="dxa"/>
            <w:hideMark/>
          </w:tcPr>
          <w:p w:rsidR="00396A41" w:rsidRPr="000E432E" w:rsidRDefault="00396A41" w:rsidP="00921457">
            <w:pPr>
              <w:widowControl w:val="0"/>
              <w:autoSpaceDE w:val="0"/>
              <w:autoSpaceDN w:val="0"/>
              <w:adjustRightInd w:val="0"/>
              <w:jc w:val="center"/>
            </w:pPr>
            <w:r w:rsidRPr="000E432E">
              <w:t>(0.211)</w:t>
            </w:r>
          </w:p>
        </w:tc>
      </w:tr>
      <w:tr w:rsidR="00396A41" w:rsidRPr="000E432E" w:rsidTr="00795E1D">
        <w:trPr>
          <w:jc w:val="center"/>
        </w:trPr>
        <w:tc>
          <w:tcPr>
            <w:tcW w:w="1428" w:type="dxa"/>
            <w:hideMark/>
          </w:tcPr>
          <w:p w:rsidR="00396A41" w:rsidRPr="000E432E" w:rsidRDefault="00396A41" w:rsidP="00921457">
            <w:pPr>
              <w:widowControl w:val="0"/>
              <w:autoSpaceDE w:val="0"/>
              <w:autoSpaceDN w:val="0"/>
              <w:adjustRightInd w:val="0"/>
            </w:pPr>
            <w:r w:rsidRPr="000E432E">
              <w:t>1.acc_type</w:t>
            </w:r>
          </w:p>
        </w:tc>
        <w:tc>
          <w:tcPr>
            <w:tcW w:w="2970" w:type="dxa"/>
            <w:hideMark/>
          </w:tcPr>
          <w:p w:rsidR="00396A41" w:rsidRPr="000E432E" w:rsidRDefault="00396A41" w:rsidP="00921457">
            <w:pPr>
              <w:widowControl w:val="0"/>
              <w:autoSpaceDE w:val="0"/>
              <w:autoSpaceDN w:val="0"/>
              <w:adjustRightInd w:val="0"/>
              <w:jc w:val="center"/>
            </w:pPr>
            <w:r w:rsidRPr="000E432E">
              <w:t>0.933*</w:t>
            </w:r>
          </w:p>
        </w:tc>
        <w:tc>
          <w:tcPr>
            <w:tcW w:w="2929" w:type="dxa"/>
            <w:hideMark/>
          </w:tcPr>
          <w:p w:rsidR="00396A41" w:rsidRPr="000E432E" w:rsidRDefault="00396A41" w:rsidP="00921457">
            <w:pPr>
              <w:widowControl w:val="0"/>
              <w:autoSpaceDE w:val="0"/>
              <w:autoSpaceDN w:val="0"/>
              <w:adjustRightInd w:val="0"/>
              <w:jc w:val="center"/>
            </w:pPr>
            <w:r w:rsidRPr="000E432E">
              <w:t>2.541*</w:t>
            </w:r>
          </w:p>
        </w:tc>
      </w:tr>
      <w:tr w:rsidR="00396A41" w:rsidRPr="000E432E" w:rsidTr="00795E1D">
        <w:trPr>
          <w:jc w:val="center"/>
        </w:trPr>
        <w:tc>
          <w:tcPr>
            <w:tcW w:w="1428" w:type="dxa"/>
          </w:tcPr>
          <w:p w:rsidR="00396A41" w:rsidRPr="000E432E" w:rsidRDefault="00396A41" w:rsidP="00921457">
            <w:pPr>
              <w:widowControl w:val="0"/>
              <w:autoSpaceDE w:val="0"/>
              <w:autoSpaceDN w:val="0"/>
              <w:adjustRightInd w:val="0"/>
            </w:pPr>
          </w:p>
        </w:tc>
        <w:tc>
          <w:tcPr>
            <w:tcW w:w="2970" w:type="dxa"/>
            <w:hideMark/>
          </w:tcPr>
          <w:p w:rsidR="00396A41" w:rsidRPr="000E432E" w:rsidRDefault="00396A41" w:rsidP="00921457">
            <w:pPr>
              <w:widowControl w:val="0"/>
              <w:autoSpaceDE w:val="0"/>
              <w:autoSpaceDN w:val="0"/>
              <w:adjustRightInd w:val="0"/>
              <w:jc w:val="center"/>
            </w:pPr>
            <w:r w:rsidRPr="000E432E">
              <w:t>(0.546)</w:t>
            </w:r>
          </w:p>
        </w:tc>
        <w:tc>
          <w:tcPr>
            <w:tcW w:w="2929" w:type="dxa"/>
            <w:hideMark/>
          </w:tcPr>
          <w:p w:rsidR="00396A41" w:rsidRPr="000E432E" w:rsidRDefault="00396A41" w:rsidP="00921457">
            <w:pPr>
              <w:widowControl w:val="0"/>
              <w:autoSpaceDE w:val="0"/>
              <w:autoSpaceDN w:val="0"/>
              <w:adjustRightInd w:val="0"/>
              <w:jc w:val="center"/>
            </w:pPr>
            <w:r w:rsidRPr="000E432E">
              <w:t>(1.387)</w:t>
            </w:r>
          </w:p>
        </w:tc>
      </w:tr>
      <w:tr w:rsidR="00396A41" w:rsidRPr="000E432E" w:rsidTr="00795E1D">
        <w:trPr>
          <w:jc w:val="center"/>
        </w:trPr>
        <w:tc>
          <w:tcPr>
            <w:tcW w:w="1428" w:type="dxa"/>
            <w:hideMark/>
          </w:tcPr>
          <w:p w:rsidR="00396A41" w:rsidRPr="000E432E" w:rsidRDefault="00396A41" w:rsidP="00921457">
            <w:pPr>
              <w:widowControl w:val="0"/>
              <w:autoSpaceDE w:val="0"/>
              <w:autoSpaceDN w:val="0"/>
              <w:adjustRightInd w:val="0"/>
            </w:pPr>
            <w:r w:rsidRPr="000E432E">
              <w:t>2.acc_type</w:t>
            </w:r>
          </w:p>
        </w:tc>
        <w:tc>
          <w:tcPr>
            <w:tcW w:w="2970" w:type="dxa"/>
            <w:hideMark/>
          </w:tcPr>
          <w:p w:rsidR="00396A41" w:rsidRPr="000E432E" w:rsidRDefault="00396A41" w:rsidP="00921457">
            <w:pPr>
              <w:widowControl w:val="0"/>
              <w:autoSpaceDE w:val="0"/>
              <w:autoSpaceDN w:val="0"/>
              <w:adjustRightInd w:val="0"/>
              <w:jc w:val="center"/>
            </w:pPr>
            <w:r w:rsidRPr="000E432E">
              <w:t>-0.340</w:t>
            </w:r>
          </w:p>
        </w:tc>
        <w:tc>
          <w:tcPr>
            <w:tcW w:w="2929" w:type="dxa"/>
            <w:hideMark/>
          </w:tcPr>
          <w:p w:rsidR="00396A41" w:rsidRPr="000E432E" w:rsidRDefault="00396A41" w:rsidP="00921457">
            <w:pPr>
              <w:widowControl w:val="0"/>
              <w:autoSpaceDE w:val="0"/>
              <w:autoSpaceDN w:val="0"/>
              <w:adjustRightInd w:val="0"/>
              <w:jc w:val="center"/>
            </w:pPr>
            <w:r w:rsidRPr="000E432E">
              <w:t>0.712</w:t>
            </w:r>
          </w:p>
        </w:tc>
      </w:tr>
      <w:tr w:rsidR="00396A41" w:rsidRPr="000E432E" w:rsidTr="00795E1D">
        <w:trPr>
          <w:jc w:val="center"/>
        </w:trPr>
        <w:tc>
          <w:tcPr>
            <w:tcW w:w="1428" w:type="dxa"/>
          </w:tcPr>
          <w:p w:rsidR="00396A41" w:rsidRPr="000E432E" w:rsidRDefault="00396A41" w:rsidP="00921457">
            <w:pPr>
              <w:widowControl w:val="0"/>
              <w:autoSpaceDE w:val="0"/>
              <w:autoSpaceDN w:val="0"/>
              <w:adjustRightInd w:val="0"/>
            </w:pPr>
          </w:p>
        </w:tc>
        <w:tc>
          <w:tcPr>
            <w:tcW w:w="2970" w:type="dxa"/>
            <w:hideMark/>
          </w:tcPr>
          <w:p w:rsidR="00396A41" w:rsidRPr="000E432E" w:rsidRDefault="00396A41" w:rsidP="00921457">
            <w:pPr>
              <w:widowControl w:val="0"/>
              <w:autoSpaceDE w:val="0"/>
              <w:autoSpaceDN w:val="0"/>
              <w:adjustRightInd w:val="0"/>
              <w:jc w:val="center"/>
            </w:pPr>
            <w:r w:rsidRPr="000E432E">
              <w:t>(1.176)</w:t>
            </w:r>
          </w:p>
        </w:tc>
        <w:tc>
          <w:tcPr>
            <w:tcW w:w="2929" w:type="dxa"/>
            <w:hideMark/>
          </w:tcPr>
          <w:p w:rsidR="00396A41" w:rsidRPr="000E432E" w:rsidRDefault="00396A41" w:rsidP="00921457">
            <w:pPr>
              <w:widowControl w:val="0"/>
              <w:autoSpaceDE w:val="0"/>
              <w:autoSpaceDN w:val="0"/>
              <w:adjustRightInd w:val="0"/>
              <w:jc w:val="center"/>
            </w:pPr>
            <w:r w:rsidRPr="000E432E">
              <w:t>(0.837)</w:t>
            </w:r>
          </w:p>
        </w:tc>
      </w:tr>
      <w:tr w:rsidR="00396A41" w:rsidRPr="000E432E" w:rsidTr="00795E1D">
        <w:trPr>
          <w:jc w:val="center"/>
        </w:trPr>
        <w:tc>
          <w:tcPr>
            <w:tcW w:w="1428" w:type="dxa"/>
            <w:hideMark/>
          </w:tcPr>
          <w:p w:rsidR="00396A41" w:rsidRPr="000E432E" w:rsidRDefault="00396A41" w:rsidP="00921457">
            <w:pPr>
              <w:widowControl w:val="0"/>
              <w:autoSpaceDE w:val="0"/>
              <w:autoSpaceDN w:val="0"/>
              <w:adjustRightInd w:val="0"/>
            </w:pPr>
            <w:r w:rsidRPr="000E432E">
              <w:t>no_ast_own_before</w:t>
            </w:r>
          </w:p>
        </w:tc>
        <w:tc>
          <w:tcPr>
            <w:tcW w:w="2970" w:type="dxa"/>
            <w:hideMark/>
          </w:tcPr>
          <w:p w:rsidR="00396A41" w:rsidRPr="000E432E" w:rsidRDefault="00396A41" w:rsidP="00921457">
            <w:pPr>
              <w:widowControl w:val="0"/>
              <w:autoSpaceDE w:val="0"/>
              <w:autoSpaceDN w:val="0"/>
              <w:adjustRightInd w:val="0"/>
              <w:jc w:val="center"/>
            </w:pPr>
            <w:r w:rsidRPr="000E432E">
              <w:t>0.0292**</w:t>
            </w:r>
          </w:p>
        </w:tc>
        <w:tc>
          <w:tcPr>
            <w:tcW w:w="2929" w:type="dxa"/>
            <w:hideMark/>
          </w:tcPr>
          <w:p w:rsidR="00396A41" w:rsidRPr="000E432E" w:rsidRDefault="00396A41" w:rsidP="00921457">
            <w:pPr>
              <w:widowControl w:val="0"/>
              <w:autoSpaceDE w:val="0"/>
              <w:autoSpaceDN w:val="0"/>
              <w:adjustRightInd w:val="0"/>
              <w:jc w:val="center"/>
            </w:pPr>
            <w:r w:rsidRPr="000E432E">
              <w:t>1.030**</w:t>
            </w:r>
          </w:p>
        </w:tc>
      </w:tr>
      <w:tr w:rsidR="00396A41" w:rsidRPr="000E432E" w:rsidTr="00795E1D">
        <w:trPr>
          <w:jc w:val="center"/>
        </w:trPr>
        <w:tc>
          <w:tcPr>
            <w:tcW w:w="1428" w:type="dxa"/>
          </w:tcPr>
          <w:p w:rsidR="00396A41" w:rsidRPr="000E432E" w:rsidRDefault="00396A41" w:rsidP="00921457">
            <w:pPr>
              <w:widowControl w:val="0"/>
              <w:autoSpaceDE w:val="0"/>
              <w:autoSpaceDN w:val="0"/>
              <w:adjustRightInd w:val="0"/>
            </w:pPr>
          </w:p>
        </w:tc>
        <w:tc>
          <w:tcPr>
            <w:tcW w:w="2970" w:type="dxa"/>
            <w:hideMark/>
          </w:tcPr>
          <w:p w:rsidR="00396A41" w:rsidRPr="000E432E" w:rsidRDefault="00396A41" w:rsidP="00921457">
            <w:pPr>
              <w:widowControl w:val="0"/>
              <w:autoSpaceDE w:val="0"/>
              <w:autoSpaceDN w:val="0"/>
              <w:adjustRightInd w:val="0"/>
              <w:jc w:val="center"/>
            </w:pPr>
            <w:r w:rsidRPr="000E432E">
              <w:t>(0.0145)</w:t>
            </w:r>
          </w:p>
        </w:tc>
        <w:tc>
          <w:tcPr>
            <w:tcW w:w="2929" w:type="dxa"/>
            <w:hideMark/>
          </w:tcPr>
          <w:p w:rsidR="00396A41" w:rsidRPr="000E432E" w:rsidRDefault="00396A41" w:rsidP="00921457">
            <w:pPr>
              <w:widowControl w:val="0"/>
              <w:autoSpaceDE w:val="0"/>
              <w:autoSpaceDN w:val="0"/>
              <w:adjustRightInd w:val="0"/>
              <w:jc w:val="center"/>
            </w:pPr>
            <w:r w:rsidRPr="000E432E">
              <w:t>(0.0149)</w:t>
            </w:r>
          </w:p>
        </w:tc>
      </w:tr>
      <w:tr w:rsidR="00396A41" w:rsidRPr="000E432E" w:rsidTr="00795E1D">
        <w:trPr>
          <w:jc w:val="center"/>
        </w:trPr>
        <w:tc>
          <w:tcPr>
            <w:tcW w:w="1428" w:type="dxa"/>
            <w:hideMark/>
          </w:tcPr>
          <w:p w:rsidR="00396A41" w:rsidRPr="000E432E" w:rsidRDefault="00396A41" w:rsidP="00921457">
            <w:pPr>
              <w:widowControl w:val="0"/>
              <w:autoSpaceDE w:val="0"/>
              <w:autoSpaceDN w:val="0"/>
              <w:adjustRightInd w:val="0"/>
            </w:pPr>
            <w:r w:rsidRPr="000E432E">
              <w:t>value_ast_own_before</w:t>
            </w:r>
          </w:p>
        </w:tc>
        <w:tc>
          <w:tcPr>
            <w:tcW w:w="2970" w:type="dxa"/>
            <w:hideMark/>
          </w:tcPr>
          <w:p w:rsidR="00396A41" w:rsidRPr="000E432E" w:rsidRDefault="00396A41" w:rsidP="00921457">
            <w:pPr>
              <w:widowControl w:val="0"/>
              <w:autoSpaceDE w:val="0"/>
              <w:autoSpaceDN w:val="0"/>
              <w:adjustRightInd w:val="0"/>
              <w:jc w:val="center"/>
            </w:pPr>
            <w:r w:rsidRPr="000E432E">
              <w:t>-1.52e-08</w:t>
            </w:r>
          </w:p>
        </w:tc>
        <w:tc>
          <w:tcPr>
            <w:tcW w:w="2929" w:type="dxa"/>
            <w:hideMark/>
          </w:tcPr>
          <w:p w:rsidR="00396A41" w:rsidRPr="000E432E" w:rsidRDefault="00396A41" w:rsidP="00921457">
            <w:pPr>
              <w:widowControl w:val="0"/>
              <w:autoSpaceDE w:val="0"/>
              <w:autoSpaceDN w:val="0"/>
              <w:adjustRightInd w:val="0"/>
              <w:jc w:val="center"/>
            </w:pPr>
            <w:r w:rsidRPr="000E432E">
              <w:t>1.000</w:t>
            </w:r>
          </w:p>
        </w:tc>
      </w:tr>
      <w:tr w:rsidR="00396A41" w:rsidRPr="000E432E" w:rsidTr="00795E1D">
        <w:trPr>
          <w:jc w:val="center"/>
        </w:trPr>
        <w:tc>
          <w:tcPr>
            <w:tcW w:w="1428" w:type="dxa"/>
          </w:tcPr>
          <w:p w:rsidR="00396A41" w:rsidRPr="000E432E" w:rsidRDefault="00396A41" w:rsidP="00921457">
            <w:pPr>
              <w:widowControl w:val="0"/>
              <w:autoSpaceDE w:val="0"/>
              <w:autoSpaceDN w:val="0"/>
              <w:adjustRightInd w:val="0"/>
            </w:pPr>
          </w:p>
        </w:tc>
        <w:tc>
          <w:tcPr>
            <w:tcW w:w="2970" w:type="dxa"/>
            <w:hideMark/>
          </w:tcPr>
          <w:p w:rsidR="00396A41" w:rsidRPr="000E432E" w:rsidRDefault="00396A41" w:rsidP="00921457">
            <w:pPr>
              <w:widowControl w:val="0"/>
              <w:autoSpaceDE w:val="0"/>
              <w:autoSpaceDN w:val="0"/>
              <w:adjustRightInd w:val="0"/>
              <w:jc w:val="center"/>
            </w:pPr>
            <w:r w:rsidRPr="000E432E">
              <w:t>(6.05e-08)</w:t>
            </w:r>
          </w:p>
        </w:tc>
        <w:tc>
          <w:tcPr>
            <w:tcW w:w="2929" w:type="dxa"/>
            <w:hideMark/>
          </w:tcPr>
          <w:p w:rsidR="00396A41" w:rsidRPr="000E432E" w:rsidRDefault="00396A41" w:rsidP="00921457">
            <w:pPr>
              <w:widowControl w:val="0"/>
              <w:autoSpaceDE w:val="0"/>
              <w:autoSpaceDN w:val="0"/>
              <w:adjustRightInd w:val="0"/>
              <w:jc w:val="center"/>
            </w:pPr>
            <w:r w:rsidRPr="000E432E">
              <w:t>(6.05e-08)</w:t>
            </w:r>
          </w:p>
        </w:tc>
      </w:tr>
      <w:tr w:rsidR="00396A41" w:rsidRPr="000E432E" w:rsidTr="00795E1D">
        <w:trPr>
          <w:jc w:val="center"/>
        </w:trPr>
        <w:tc>
          <w:tcPr>
            <w:tcW w:w="1428" w:type="dxa"/>
            <w:hideMark/>
          </w:tcPr>
          <w:p w:rsidR="00396A41" w:rsidRPr="000E432E" w:rsidRDefault="00396A41" w:rsidP="00921457">
            <w:pPr>
              <w:widowControl w:val="0"/>
              <w:autoSpaceDE w:val="0"/>
              <w:autoSpaceDN w:val="0"/>
              <w:adjustRightInd w:val="0"/>
            </w:pPr>
            <w:r w:rsidRPr="000E432E">
              <w:t>Membership of coop society</w:t>
            </w:r>
          </w:p>
        </w:tc>
        <w:tc>
          <w:tcPr>
            <w:tcW w:w="2970" w:type="dxa"/>
            <w:hideMark/>
          </w:tcPr>
          <w:p w:rsidR="00396A41" w:rsidRPr="000E432E" w:rsidRDefault="00396A41" w:rsidP="00921457">
            <w:pPr>
              <w:widowControl w:val="0"/>
              <w:autoSpaceDE w:val="0"/>
              <w:autoSpaceDN w:val="0"/>
              <w:adjustRightInd w:val="0"/>
              <w:jc w:val="center"/>
            </w:pPr>
            <w:r w:rsidRPr="000E432E">
              <w:t>1.243***</w:t>
            </w:r>
          </w:p>
        </w:tc>
        <w:tc>
          <w:tcPr>
            <w:tcW w:w="2929" w:type="dxa"/>
            <w:hideMark/>
          </w:tcPr>
          <w:p w:rsidR="00396A41" w:rsidRPr="000E432E" w:rsidRDefault="00396A41" w:rsidP="00921457">
            <w:pPr>
              <w:widowControl w:val="0"/>
              <w:autoSpaceDE w:val="0"/>
              <w:autoSpaceDN w:val="0"/>
              <w:adjustRightInd w:val="0"/>
              <w:jc w:val="center"/>
            </w:pPr>
            <w:r w:rsidRPr="000E432E">
              <w:t>3.466***</w:t>
            </w:r>
          </w:p>
        </w:tc>
      </w:tr>
      <w:tr w:rsidR="00396A41" w:rsidRPr="000E432E" w:rsidTr="00795E1D">
        <w:trPr>
          <w:jc w:val="center"/>
        </w:trPr>
        <w:tc>
          <w:tcPr>
            <w:tcW w:w="1428" w:type="dxa"/>
          </w:tcPr>
          <w:p w:rsidR="00396A41" w:rsidRPr="000E432E" w:rsidRDefault="00396A41" w:rsidP="00921457">
            <w:pPr>
              <w:widowControl w:val="0"/>
              <w:autoSpaceDE w:val="0"/>
              <w:autoSpaceDN w:val="0"/>
              <w:adjustRightInd w:val="0"/>
            </w:pPr>
          </w:p>
        </w:tc>
        <w:tc>
          <w:tcPr>
            <w:tcW w:w="2970" w:type="dxa"/>
            <w:hideMark/>
          </w:tcPr>
          <w:p w:rsidR="00396A41" w:rsidRPr="000E432E" w:rsidRDefault="00396A41" w:rsidP="00921457">
            <w:pPr>
              <w:widowControl w:val="0"/>
              <w:autoSpaceDE w:val="0"/>
              <w:autoSpaceDN w:val="0"/>
              <w:adjustRightInd w:val="0"/>
              <w:jc w:val="center"/>
            </w:pPr>
            <w:r w:rsidRPr="000E432E">
              <w:t>(0.460)</w:t>
            </w:r>
          </w:p>
        </w:tc>
        <w:tc>
          <w:tcPr>
            <w:tcW w:w="2929" w:type="dxa"/>
            <w:hideMark/>
          </w:tcPr>
          <w:p w:rsidR="00396A41" w:rsidRPr="000E432E" w:rsidRDefault="00396A41" w:rsidP="00921457">
            <w:pPr>
              <w:widowControl w:val="0"/>
              <w:autoSpaceDE w:val="0"/>
              <w:autoSpaceDN w:val="0"/>
              <w:adjustRightInd w:val="0"/>
              <w:jc w:val="center"/>
            </w:pPr>
            <w:r w:rsidRPr="000E432E">
              <w:t>(1.594)</w:t>
            </w:r>
          </w:p>
        </w:tc>
      </w:tr>
      <w:tr w:rsidR="00396A41" w:rsidRPr="000E432E" w:rsidTr="00795E1D">
        <w:trPr>
          <w:jc w:val="center"/>
        </w:trPr>
        <w:tc>
          <w:tcPr>
            <w:tcW w:w="1428" w:type="dxa"/>
            <w:hideMark/>
          </w:tcPr>
          <w:p w:rsidR="00396A41" w:rsidRPr="000E432E" w:rsidRDefault="00396A41" w:rsidP="00921457">
            <w:pPr>
              <w:widowControl w:val="0"/>
              <w:autoSpaceDE w:val="0"/>
              <w:autoSpaceDN w:val="0"/>
              <w:adjustRightInd w:val="0"/>
            </w:pPr>
            <w:r w:rsidRPr="000E432E">
              <w:t>Constant</w:t>
            </w:r>
          </w:p>
        </w:tc>
        <w:tc>
          <w:tcPr>
            <w:tcW w:w="2970" w:type="dxa"/>
            <w:hideMark/>
          </w:tcPr>
          <w:p w:rsidR="00396A41" w:rsidRPr="000E432E" w:rsidRDefault="00396A41" w:rsidP="00921457">
            <w:pPr>
              <w:widowControl w:val="0"/>
              <w:autoSpaceDE w:val="0"/>
              <w:autoSpaceDN w:val="0"/>
              <w:adjustRightInd w:val="0"/>
              <w:jc w:val="center"/>
            </w:pPr>
            <w:r w:rsidRPr="000E432E">
              <w:t>0.297</w:t>
            </w:r>
          </w:p>
        </w:tc>
        <w:tc>
          <w:tcPr>
            <w:tcW w:w="2929" w:type="dxa"/>
            <w:hideMark/>
          </w:tcPr>
          <w:p w:rsidR="00396A41" w:rsidRPr="000E432E" w:rsidRDefault="00396A41" w:rsidP="00921457">
            <w:pPr>
              <w:widowControl w:val="0"/>
              <w:autoSpaceDE w:val="0"/>
              <w:autoSpaceDN w:val="0"/>
              <w:adjustRightInd w:val="0"/>
              <w:jc w:val="center"/>
            </w:pPr>
            <w:r w:rsidRPr="000E432E">
              <w:t>1.346</w:t>
            </w:r>
          </w:p>
        </w:tc>
      </w:tr>
      <w:tr w:rsidR="00396A41" w:rsidRPr="000E432E" w:rsidTr="00795E1D">
        <w:trPr>
          <w:jc w:val="center"/>
        </w:trPr>
        <w:tc>
          <w:tcPr>
            <w:tcW w:w="1428" w:type="dxa"/>
            <w:tcBorders>
              <w:bottom w:val="single" w:sz="4" w:space="0" w:color="auto"/>
            </w:tcBorders>
          </w:tcPr>
          <w:p w:rsidR="00396A41" w:rsidRPr="000E432E" w:rsidRDefault="00396A41" w:rsidP="00921457">
            <w:pPr>
              <w:widowControl w:val="0"/>
              <w:autoSpaceDE w:val="0"/>
              <w:autoSpaceDN w:val="0"/>
              <w:adjustRightInd w:val="0"/>
            </w:pPr>
          </w:p>
        </w:tc>
        <w:tc>
          <w:tcPr>
            <w:tcW w:w="2970" w:type="dxa"/>
            <w:tcBorders>
              <w:bottom w:val="single" w:sz="4" w:space="0" w:color="auto"/>
            </w:tcBorders>
            <w:hideMark/>
          </w:tcPr>
          <w:p w:rsidR="00396A41" w:rsidRPr="000E432E" w:rsidRDefault="00396A41" w:rsidP="00921457">
            <w:pPr>
              <w:widowControl w:val="0"/>
              <w:autoSpaceDE w:val="0"/>
              <w:autoSpaceDN w:val="0"/>
              <w:adjustRightInd w:val="0"/>
              <w:jc w:val="center"/>
            </w:pPr>
            <w:r w:rsidRPr="000E432E">
              <w:t>(1.377)</w:t>
            </w:r>
          </w:p>
        </w:tc>
        <w:tc>
          <w:tcPr>
            <w:tcW w:w="2929" w:type="dxa"/>
            <w:tcBorders>
              <w:bottom w:val="single" w:sz="4" w:space="0" w:color="auto"/>
            </w:tcBorders>
            <w:hideMark/>
          </w:tcPr>
          <w:p w:rsidR="00396A41" w:rsidRPr="000E432E" w:rsidRDefault="00396A41" w:rsidP="00921457">
            <w:pPr>
              <w:widowControl w:val="0"/>
              <w:autoSpaceDE w:val="0"/>
              <w:autoSpaceDN w:val="0"/>
              <w:adjustRightInd w:val="0"/>
              <w:jc w:val="center"/>
            </w:pPr>
            <w:r w:rsidRPr="000E432E">
              <w:t>(1.853)</w:t>
            </w:r>
          </w:p>
        </w:tc>
      </w:tr>
    </w:tbl>
    <w:p w:rsidR="00396A41" w:rsidRPr="00FA0E55" w:rsidRDefault="00396A41" w:rsidP="00795E1D">
      <w:pPr>
        <w:ind w:firstLine="720"/>
        <w:rPr>
          <w:sz w:val="18"/>
        </w:rPr>
      </w:pPr>
      <w:r w:rsidRPr="00FA0E55">
        <w:rPr>
          <w:sz w:val="18"/>
        </w:rPr>
        <w:t xml:space="preserve"> Note: Robust standard errors in parentheses *** p&lt;0.01, ** p&lt;0.05, * p&lt;0.1</w:t>
      </w:r>
    </w:p>
    <w:p w:rsidR="00795E1D" w:rsidRDefault="00795E1D" w:rsidP="00396A41">
      <w:pPr>
        <w:jc w:val="both"/>
      </w:pPr>
    </w:p>
    <w:p w:rsidR="00396A41" w:rsidRDefault="00396A41" w:rsidP="00396A41">
      <w:pPr>
        <w:jc w:val="both"/>
      </w:pPr>
      <w:r w:rsidRPr="00D14254">
        <w:t xml:space="preserve">Table 5 shows the estimated logit model for the relationship between non interest financial services and the household livelihood as measured by change in income. Based on the estimated result of the change in income model, the coefficient of household size was found to be statistically significant at 5% level. The result shows that this coefficient has a positive relationship with the improvement in household livelihood. A one unit increase in the family size will lead to increase in the log odd of household livelihood improvement by about 0.11 units, all things being equal. This is in line with a priori expectation because based on the culture of the people of the study area, larger family size tend to have higher income because most of the able family member tend to engage in one or more income generating activity which </w:t>
      </w:r>
      <w:r w:rsidRPr="00D14254">
        <w:lastRenderedPageBreak/>
        <w:t xml:space="preserve">at the end of the day increases the overall family income. This is tally to the findings of Danlami et al. (2024).  Additionally, the estimated result of household change in income model indicates that the coefficient of marital status was found to be statistically significant at 5% level. The estimated discrete effect of this variable was found to be negative which indicates that when the married client of non-interest financial institutions has lower log odd of improvement in his livelihood by about 1.24 units compared to the non married client. This is in line with a priori expectation because in some instant, married client divert part of the facilities received from those non interest financial institutions and used them to cater for family needs instead of re-investment which may affect their income flow unlike the non married clients whereby in most cases they do not have much family responsibilities and therefore channeled the facilities directly to where they were meant for. </w:t>
      </w:r>
    </w:p>
    <w:p w:rsidR="00FA0E55" w:rsidRPr="00D14254" w:rsidRDefault="00FA0E55" w:rsidP="00396A41">
      <w:pPr>
        <w:jc w:val="both"/>
      </w:pPr>
    </w:p>
    <w:p w:rsidR="00396A41" w:rsidRPr="00D14254" w:rsidRDefault="00396A41" w:rsidP="00396A41">
      <w:pPr>
        <w:jc w:val="both"/>
      </w:pPr>
      <w:r w:rsidRPr="00D14254">
        <w:t xml:space="preserve">Moreover, the discrete effect of the variable gender was found to be statistically significant at 1% level. This variable was found to be positive indicating that a male gender clients of the non-interest financial institutions tend to have higher log odd of improvement in livelihood by about 1.38 units compared to the their female counterparts. This is in line with a priori expectation because of the economic domination of male gender over the female gender in the study area which gives them more chance of investment opportunities. However, this contradicts the findings of Mirach and Hailu (2014). Furthermore, the coefficient of amount of current facility was found to be positive and statistically significant at 1%. Based on the estimated result, a ₦10,000 increase in the amount of current facility obtained from the non interest financial institutions will lead to increase in the log odd of household livelihood improvement by about 0.32 units all things being equal. This conforms to the a priori expectation because, the larger the facility obtained, the larger the investment/capital consequently the higher will be the change in income. This contradicts the findings of Danlami et al. (2024). Moreover, the estimated model indicates that the coefficient of variable number of repayment installment was statistically significant at 1% level. This coefficient was found to be negatively related with the log odd of improvement in income implying that the higher the number of repayment installment for a non-interest facility, the lower the log odd of household improvement in livelihood by about 0.161 units all things being equal. However, this finding does not conform to a priori expectation but supports the findings of Danlami et al. (2024) </w:t>
      </w:r>
    </w:p>
    <w:p w:rsidR="00795E1D" w:rsidRDefault="00795E1D" w:rsidP="00396A41">
      <w:pPr>
        <w:jc w:val="both"/>
      </w:pPr>
    </w:p>
    <w:p w:rsidR="00396A41" w:rsidRDefault="00396A41" w:rsidP="00396A41">
      <w:pPr>
        <w:jc w:val="both"/>
      </w:pPr>
      <w:r w:rsidRPr="00D14254">
        <w:t>Furthermore, the coefficient of variable income earned before enjoying any non-interest facility was found to be negative and statistically significant at 1% level. Based on the estimated result, a ₦10,000 increase in the amount of income before enjoying a non-interest facility is associated to a decrease in the log odd of household livelihood improvements by about 0.6 units all this being equal. This is contrary to a priori expectation. Contrarily, the estimated coefficient of variable number of assets before patronizing non interest financial services was found to be positive and statistically significant at 5% level. The estimated value of this coefficient indicates that a household that has larger number of assets by one unit tend to experience improvement in the log odd of their livelihood by about 0.03 units all things being equal. This is in line with a priori expectation because the non interest financial services tend to have more impact on households that already have some assets than poorer and impoverished households. On the same vein, the estimated odd ratio of this variable was found to be significant at 5% level. The value of the estimated odd ratio indicates that households that have higher number of assets prior to the non interest financial services have higher odd of improvement in livelihood via change income by about 1.03 times higher. This is in line with a priori expectation.</w:t>
      </w:r>
    </w:p>
    <w:p w:rsidR="00FA0E55" w:rsidRPr="00D14254" w:rsidRDefault="00FA0E55" w:rsidP="00396A41">
      <w:pPr>
        <w:jc w:val="both"/>
      </w:pPr>
    </w:p>
    <w:p w:rsidR="00396A41" w:rsidRPr="00D14254" w:rsidRDefault="00396A41" w:rsidP="00396A41">
      <w:pPr>
        <w:jc w:val="both"/>
      </w:pPr>
      <w:r w:rsidRPr="00D14254">
        <w:t xml:space="preserve">Similarly, the estimated coefficient of variable membership of cooperative society was found to be positive and statistically significant at 1% level. Based on the estimated value of this coefficient, a household that belongs to a particular cooperative society tend to have higher log odd of livelihood improvement from non interest financial services by about 1.243 units compared to those that do not belong to any cooperative society. This finding is in line with a priori expectation because the households that belong to a particular cooperative society tend to enjoy more non interest financial services and also can bargain for more benefits which may have more impacts on household livelihood. This finding conforms to the findings of … Furthermore, the estimated odd ratio of this coefficient was found to be positive and statistically significant at 1% level. Based on the value of the estimated odd ratio, the odd of livelihood improvement from non interest financial services for households that are members of a cooperative society is about 3.47 times higher than those who do not belong to any cooperative society. This is in line with a priori expectations.           </w:t>
      </w:r>
    </w:p>
    <w:p w:rsidR="00396A41" w:rsidRDefault="00396A41" w:rsidP="00396A41">
      <w:pPr>
        <w:jc w:val="both"/>
      </w:pPr>
      <w:r w:rsidRPr="00D14254">
        <w:t>Moreover, Table 5 indicates the estimated model for household livelihood improvement as measured by the household change in savings. The estimated coefficients and the odd ratios are shown in the following table:</w:t>
      </w:r>
    </w:p>
    <w:p w:rsidR="00FA0E55" w:rsidRDefault="00FA0E55" w:rsidP="00396A41">
      <w:pPr>
        <w:jc w:val="both"/>
      </w:pPr>
    </w:p>
    <w:p w:rsidR="00FA0E55" w:rsidRDefault="00FA0E55" w:rsidP="00396A41">
      <w:pPr>
        <w:jc w:val="both"/>
      </w:pPr>
    </w:p>
    <w:p w:rsidR="00396A41" w:rsidRPr="00D14254" w:rsidRDefault="000E432E" w:rsidP="00396A41">
      <w:pPr>
        <w:rPr>
          <w:b/>
          <w:bCs/>
        </w:rPr>
      </w:pPr>
      <w:r>
        <w:tab/>
      </w:r>
      <w:r w:rsidR="00396A41" w:rsidRPr="00FA0E55">
        <w:rPr>
          <w:sz w:val="18"/>
        </w:rPr>
        <w:t>Table 5: Household Change in Savings Model</w:t>
      </w:r>
    </w:p>
    <w:tbl>
      <w:tblPr>
        <w:tblW w:w="7511" w:type="dxa"/>
        <w:jc w:val="center"/>
        <w:tblInd w:w="2583" w:type="dxa"/>
        <w:tblLayout w:type="fixed"/>
        <w:tblCellMar>
          <w:left w:w="75" w:type="dxa"/>
          <w:right w:w="75" w:type="dxa"/>
        </w:tblCellMar>
        <w:tblLook w:val="04A0" w:firstRow="1" w:lastRow="0" w:firstColumn="1" w:lastColumn="0" w:noHBand="0" w:noVBand="1"/>
      </w:tblPr>
      <w:tblGrid>
        <w:gridCol w:w="2088"/>
        <w:gridCol w:w="3077"/>
        <w:gridCol w:w="2346"/>
      </w:tblGrid>
      <w:tr w:rsidR="00396A41" w:rsidRPr="00D14254" w:rsidTr="000E432E">
        <w:trPr>
          <w:jc w:val="center"/>
        </w:trPr>
        <w:tc>
          <w:tcPr>
            <w:tcW w:w="2088" w:type="dxa"/>
            <w:tcBorders>
              <w:top w:val="single" w:sz="6" w:space="0" w:color="auto"/>
              <w:left w:val="nil"/>
              <w:bottom w:val="nil"/>
              <w:right w:val="nil"/>
            </w:tcBorders>
          </w:tcPr>
          <w:p w:rsidR="00396A41" w:rsidRPr="00D14254" w:rsidRDefault="00396A41" w:rsidP="00921457">
            <w:pPr>
              <w:widowControl w:val="0"/>
              <w:autoSpaceDE w:val="0"/>
              <w:autoSpaceDN w:val="0"/>
              <w:adjustRightInd w:val="0"/>
            </w:pPr>
          </w:p>
        </w:tc>
        <w:tc>
          <w:tcPr>
            <w:tcW w:w="3077" w:type="dxa"/>
            <w:tcBorders>
              <w:top w:val="single" w:sz="6" w:space="0" w:color="auto"/>
              <w:left w:val="nil"/>
              <w:bottom w:val="nil"/>
              <w:right w:val="nil"/>
            </w:tcBorders>
            <w:hideMark/>
          </w:tcPr>
          <w:p w:rsidR="00396A41" w:rsidRPr="00D14254" w:rsidRDefault="00396A41" w:rsidP="00921457">
            <w:pPr>
              <w:widowControl w:val="0"/>
              <w:autoSpaceDE w:val="0"/>
              <w:autoSpaceDN w:val="0"/>
              <w:adjustRightInd w:val="0"/>
              <w:jc w:val="center"/>
            </w:pPr>
            <w:r w:rsidRPr="00D14254">
              <w:t>(1)</w:t>
            </w:r>
          </w:p>
        </w:tc>
        <w:tc>
          <w:tcPr>
            <w:tcW w:w="2346" w:type="dxa"/>
            <w:tcBorders>
              <w:top w:val="single" w:sz="6" w:space="0" w:color="auto"/>
              <w:left w:val="nil"/>
              <w:bottom w:val="nil"/>
              <w:right w:val="nil"/>
            </w:tcBorders>
            <w:hideMark/>
          </w:tcPr>
          <w:p w:rsidR="00396A41" w:rsidRPr="00D14254" w:rsidRDefault="00396A41" w:rsidP="00921457">
            <w:pPr>
              <w:widowControl w:val="0"/>
              <w:autoSpaceDE w:val="0"/>
              <w:autoSpaceDN w:val="0"/>
              <w:adjustRightInd w:val="0"/>
              <w:jc w:val="center"/>
            </w:pPr>
            <w:r w:rsidRPr="00D14254">
              <w:t>(2)</w:t>
            </w:r>
          </w:p>
        </w:tc>
      </w:tr>
      <w:tr w:rsidR="00396A41" w:rsidRPr="00D14254" w:rsidTr="000E432E">
        <w:trPr>
          <w:jc w:val="center"/>
        </w:trPr>
        <w:tc>
          <w:tcPr>
            <w:tcW w:w="2088" w:type="dxa"/>
          </w:tcPr>
          <w:p w:rsidR="00396A41" w:rsidRPr="00D14254" w:rsidRDefault="00396A41" w:rsidP="00921457">
            <w:pPr>
              <w:widowControl w:val="0"/>
              <w:autoSpaceDE w:val="0"/>
              <w:autoSpaceDN w:val="0"/>
              <w:adjustRightInd w:val="0"/>
            </w:pPr>
          </w:p>
        </w:tc>
        <w:tc>
          <w:tcPr>
            <w:tcW w:w="3077" w:type="dxa"/>
            <w:hideMark/>
          </w:tcPr>
          <w:p w:rsidR="00396A41" w:rsidRPr="00D14254" w:rsidRDefault="00396A41" w:rsidP="00921457">
            <w:pPr>
              <w:widowControl w:val="0"/>
              <w:autoSpaceDE w:val="0"/>
              <w:autoSpaceDN w:val="0"/>
              <w:adjustRightInd w:val="0"/>
              <w:jc w:val="center"/>
            </w:pPr>
            <w:r w:rsidRPr="00D14254">
              <w:t>Coefficients</w:t>
            </w:r>
          </w:p>
        </w:tc>
        <w:tc>
          <w:tcPr>
            <w:tcW w:w="2346" w:type="dxa"/>
            <w:hideMark/>
          </w:tcPr>
          <w:p w:rsidR="00396A41" w:rsidRPr="00D14254" w:rsidRDefault="00396A41" w:rsidP="00921457">
            <w:pPr>
              <w:widowControl w:val="0"/>
              <w:autoSpaceDE w:val="0"/>
              <w:autoSpaceDN w:val="0"/>
              <w:adjustRightInd w:val="0"/>
              <w:jc w:val="center"/>
            </w:pPr>
            <w:r w:rsidRPr="00D14254">
              <w:t>Odd Ratios</w:t>
            </w:r>
          </w:p>
        </w:tc>
      </w:tr>
      <w:tr w:rsidR="00396A41" w:rsidRPr="00D14254" w:rsidTr="000E432E">
        <w:trPr>
          <w:jc w:val="center"/>
        </w:trPr>
        <w:tc>
          <w:tcPr>
            <w:tcW w:w="2088" w:type="dxa"/>
            <w:tcBorders>
              <w:top w:val="nil"/>
              <w:left w:val="nil"/>
              <w:bottom w:val="single" w:sz="6" w:space="0" w:color="auto"/>
              <w:right w:val="nil"/>
            </w:tcBorders>
            <w:hideMark/>
          </w:tcPr>
          <w:p w:rsidR="00396A41" w:rsidRPr="00D14254" w:rsidRDefault="00396A41" w:rsidP="00921457">
            <w:pPr>
              <w:widowControl w:val="0"/>
              <w:autoSpaceDE w:val="0"/>
              <w:autoSpaceDN w:val="0"/>
              <w:adjustRightInd w:val="0"/>
            </w:pPr>
            <w:r w:rsidRPr="00D14254">
              <w:t>VARIABLES</w:t>
            </w:r>
          </w:p>
        </w:tc>
        <w:tc>
          <w:tcPr>
            <w:tcW w:w="3077" w:type="dxa"/>
            <w:tcBorders>
              <w:top w:val="nil"/>
              <w:left w:val="nil"/>
              <w:bottom w:val="single" w:sz="6" w:space="0" w:color="auto"/>
              <w:right w:val="nil"/>
            </w:tcBorders>
            <w:hideMark/>
          </w:tcPr>
          <w:p w:rsidR="00396A41" w:rsidRPr="00D14254" w:rsidRDefault="00396A41" w:rsidP="00921457">
            <w:pPr>
              <w:widowControl w:val="0"/>
              <w:autoSpaceDE w:val="0"/>
              <w:autoSpaceDN w:val="0"/>
              <w:adjustRightInd w:val="0"/>
              <w:jc w:val="center"/>
            </w:pPr>
            <w:r w:rsidRPr="00D14254">
              <w:t>Change in Savings</w:t>
            </w:r>
          </w:p>
        </w:tc>
        <w:tc>
          <w:tcPr>
            <w:tcW w:w="2346" w:type="dxa"/>
            <w:tcBorders>
              <w:top w:val="nil"/>
              <w:left w:val="nil"/>
              <w:bottom w:val="single" w:sz="6" w:space="0" w:color="auto"/>
              <w:right w:val="nil"/>
            </w:tcBorders>
            <w:hideMark/>
          </w:tcPr>
          <w:p w:rsidR="00396A41" w:rsidRPr="00D14254" w:rsidRDefault="00396A41" w:rsidP="00921457">
            <w:pPr>
              <w:widowControl w:val="0"/>
              <w:autoSpaceDE w:val="0"/>
              <w:autoSpaceDN w:val="0"/>
              <w:adjustRightInd w:val="0"/>
              <w:jc w:val="center"/>
            </w:pPr>
            <w:r w:rsidRPr="00D14254">
              <w:t>Change in Savings</w:t>
            </w:r>
          </w:p>
        </w:tc>
      </w:tr>
      <w:tr w:rsidR="00396A41" w:rsidRPr="00D14254" w:rsidTr="000E432E">
        <w:trPr>
          <w:jc w:val="center"/>
        </w:trPr>
        <w:tc>
          <w:tcPr>
            <w:tcW w:w="2088" w:type="dxa"/>
            <w:hideMark/>
          </w:tcPr>
          <w:p w:rsidR="00396A41" w:rsidRPr="00D14254" w:rsidRDefault="00396A41" w:rsidP="00921457">
            <w:pPr>
              <w:widowControl w:val="0"/>
              <w:autoSpaceDE w:val="0"/>
              <w:autoSpaceDN w:val="0"/>
              <w:adjustRightInd w:val="0"/>
            </w:pPr>
            <w:r w:rsidRPr="00D14254">
              <w:t>gender</w:t>
            </w:r>
          </w:p>
        </w:tc>
        <w:tc>
          <w:tcPr>
            <w:tcW w:w="3077" w:type="dxa"/>
            <w:hideMark/>
          </w:tcPr>
          <w:p w:rsidR="00396A41" w:rsidRPr="00D14254" w:rsidRDefault="00396A41" w:rsidP="00921457">
            <w:pPr>
              <w:widowControl w:val="0"/>
              <w:autoSpaceDE w:val="0"/>
              <w:autoSpaceDN w:val="0"/>
              <w:adjustRightInd w:val="0"/>
              <w:jc w:val="center"/>
            </w:pPr>
            <w:r w:rsidRPr="00D14254">
              <w:t>-0.223</w:t>
            </w:r>
          </w:p>
        </w:tc>
        <w:tc>
          <w:tcPr>
            <w:tcW w:w="2346" w:type="dxa"/>
            <w:hideMark/>
          </w:tcPr>
          <w:p w:rsidR="00396A41" w:rsidRPr="00D14254" w:rsidRDefault="00396A41" w:rsidP="00921457">
            <w:pPr>
              <w:widowControl w:val="0"/>
              <w:autoSpaceDE w:val="0"/>
              <w:autoSpaceDN w:val="0"/>
              <w:adjustRightInd w:val="0"/>
              <w:jc w:val="center"/>
            </w:pPr>
            <w:r w:rsidRPr="00D14254">
              <w:t>0.800</w:t>
            </w:r>
          </w:p>
        </w:tc>
      </w:tr>
      <w:tr w:rsidR="00396A41" w:rsidRPr="00D14254" w:rsidTr="000E432E">
        <w:trPr>
          <w:jc w:val="center"/>
        </w:trPr>
        <w:tc>
          <w:tcPr>
            <w:tcW w:w="2088" w:type="dxa"/>
          </w:tcPr>
          <w:p w:rsidR="00396A41" w:rsidRPr="00D14254" w:rsidRDefault="00396A41" w:rsidP="00921457">
            <w:pPr>
              <w:widowControl w:val="0"/>
              <w:autoSpaceDE w:val="0"/>
              <w:autoSpaceDN w:val="0"/>
              <w:adjustRightInd w:val="0"/>
            </w:pPr>
          </w:p>
        </w:tc>
        <w:tc>
          <w:tcPr>
            <w:tcW w:w="3077" w:type="dxa"/>
            <w:hideMark/>
          </w:tcPr>
          <w:p w:rsidR="00396A41" w:rsidRPr="00D14254" w:rsidRDefault="00396A41" w:rsidP="00921457">
            <w:pPr>
              <w:widowControl w:val="0"/>
              <w:autoSpaceDE w:val="0"/>
              <w:autoSpaceDN w:val="0"/>
              <w:adjustRightInd w:val="0"/>
              <w:jc w:val="center"/>
            </w:pPr>
            <w:r w:rsidRPr="00D14254">
              <w:t>(0.335)</w:t>
            </w:r>
          </w:p>
        </w:tc>
        <w:tc>
          <w:tcPr>
            <w:tcW w:w="2346" w:type="dxa"/>
            <w:hideMark/>
          </w:tcPr>
          <w:p w:rsidR="00396A41" w:rsidRPr="00D14254" w:rsidRDefault="00396A41" w:rsidP="00921457">
            <w:pPr>
              <w:widowControl w:val="0"/>
              <w:autoSpaceDE w:val="0"/>
              <w:autoSpaceDN w:val="0"/>
              <w:adjustRightInd w:val="0"/>
              <w:jc w:val="center"/>
            </w:pPr>
            <w:r w:rsidRPr="00D14254">
              <w:t>(0.268)</w:t>
            </w:r>
          </w:p>
        </w:tc>
      </w:tr>
      <w:tr w:rsidR="00396A41" w:rsidRPr="00D14254" w:rsidTr="000E432E">
        <w:trPr>
          <w:jc w:val="center"/>
        </w:trPr>
        <w:tc>
          <w:tcPr>
            <w:tcW w:w="2088" w:type="dxa"/>
            <w:hideMark/>
          </w:tcPr>
          <w:p w:rsidR="00396A41" w:rsidRPr="00D14254" w:rsidRDefault="00396A41" w:rsidP="00921457">
            <w:pPr>
              <w:widowControl w:val="0"/>
              <w:autoSpaceDE w:val="0"/>
              <w:autoSpaceDN w:val="0"/>
              <w:adjustRightInd w:val="0"/>
            </w:pPr>
            <w:r w:rsidRPr="00D14254">
              <w:lastRenderedPageBreak/>
              <w:t>religion</w:t>
            </w:r>
          </w:p>
        </w:tc>
        <w:tc>
          <w:tcPr>
            <w:tcW w:w="3077" w:type="dxa"/>
            <w:hideMark/>
          </w:tcPr>
          <w:p w:rsidR="00396A41" w:rsidRPr="00D14254" w:rsidRDefault="00396A41" w:rsidP="00921457">
            <w:pPr>
              <w:widowControl w:val="0"/>
              <w:autoSpaceDE w:val="0"/>
              <w:autoSpaceDN w:val="0"/>
              <w:adjustRightInd w:val="0"/>
              <w:jc w:val="center"/>
            </w:pPr>
            <w:r w:rsidRPr="00D14254">
              <w:t>-1.762**</w:t>
            </w:r>
          </w:p>
        </w:tc>
        <w:tc>
          <w:tcPr>
            <w:tcW w:w="2346" w:type="dxa"/>
            <w:hideMark/>
          </w:tcPr>
          <w:p w:rsidR="00396A41" w:rsidRPr="00D14254" w:rsidRDefault="00396A41" w:rsidP="00921457">
            <w:pPr>
              <w:widowControl w:val="0"/>
              <w:autoSpaceDE w:val="0"/>
              <w:autoSpaceDN w:val="0"/>
              <w:adjustRightInd w:val="0"/>
              <w:jc w:val="center"/>
            </w:pPr>
            <w:r w:rsidRPr="00D14254">
              <w:t>0.172**</w:t>
            </w:r>
          </w:p>
        </w:tc>
      </w:tr>
      <w:tr w:rsidR="00396A41" w:rsidRPr="00D14254" w:rsidTr="000E432E">
        <w:trPr>
          <w:jc w:val="center"/>
        </w:trPr>
        <w:tc>
          <w:tcPr>
            <w:tcW w:w="2088" w:type="dxa"/>
          </w:tcPr>
          <w:p w:rsidR="00396A41" w:rsidRPr="00D14254" w:rsidRDefault="00396A41" w:rsidP="00921457">
            <w:pPr>
              <w:widowControl w:val="0"/>
              <w:autoSpaceDE w:val="0"/>
              <w:autoSpaceDN w:val="0"/>
              <w:adjustRightInd w:val="0"/>
            </w:pPr>
          </w:p>
        </w:tc>
        <w:tc>
          <w:tcPr>
            <w:tcW w:w="3077" w:type="dxa"/>
            <w:hideMark/>
          </w:tcPr>
          <w:p w:rsidR="00396A41" w:rsidRPr="00D14254" w:rsidRDefault="00396A41" w:rsidP="00921457">
            <w:pPr>
              <w:widowControl w:val="0"/>
              <w:autoSpaceDE w:val="0"/>
              <w:autoSpaceDN w:val="0"/>
              <w:adjustRightInd w:val="0"/>
              <w:jc w:val="center"/>
            </w:pPr>
            <w:r w:rsidRPr="00D14254">
              <w:t>(0.781)</w:t>
            </w:r>
          </w:p>
        </w:tc>
        <w:tc>
          <w:tcPr>
            <w:tcW w:w="2346" w:type="dxa"/>
            <w:hideMark/>
          </w:tcPr>
          <w:p w:rsidR="00396A41" w:rsidRPr="00D14254" w:rsidRDefault="00396A41" w:rsidP="00921457">
            <w:pPr>
              <w:widowControl w:val="0"/>
              <w:autoSpaceDE w:val="0"/>
              <w:autoSpaceDN w:val="0"/>
              <w:adjustRightInd w:val="0"/>
              <w:jc w:val="center"/>
            </w:pPr>
            <w:r w:rsidRPr="00D14254">
              <w:t>(0.134)</w:t>
            </w:r>
          </w:p>
        </w:tc>
      </w:tr>
      <w:tr w:rsidR="00396A41" w:rsidRPr="00D14254" w:rsidTr="000E432E">
        <w:trPr>
          <w:jc w:val="center"/>
        </w:trPr>
        <w:tc>
          <w:tcPr>
            <w:tcW w:w="2088" w:type="dxa"/>
            <w:hideMark/>
          </w:tcPr>
          <w:p w:rsidR="00396A41" w:rsidRPr="00D14254" w:rsidRDefault="00396A41" w:rsidP="00921457">
            <w:pPr>
              <w:widowControl w:val="0"/>
              <w:autoSpaceDE w:val="0"/>
              <w:autoSpaceDN w:val="0"/>
              <w:adjustRightInd w:val="0"/>
            </w:pPr>
            <w:r w:rsidRPr="00D14254">
              <w:t>age</w:t>
            </w:r>
          </w:p>
        </w:tc>
        <w:tc>
          <w:tcPr>
            <w:tcW w:w="3077" w:type="dxa"/>
            <w:hideMark/>
          </w:tcPr>
          <w:p w:rsidR="00396A41" w:rsidRPr="00D14254" w:rsidRDefault="00396A41" w:rsidP="00921457">
            <w:pPr>
              <w:widowControl w:val="0"/>
              <w:autoSpaceDE w:val="0"/>
              <w:autoSpaceDN w:val="0"/>
              <w:adjustRightInd w:val="0"/>
              <w:jc w:val="center"/>
            </w:pPr>
            <w:r w:rsidRPr="00D14254">
              <w:t>-0.0128</w:t>
            </w:r>
          </w:p>
        </w:tc>
        <w:tc>
          <w:tcPr>
            <w:tcW w:w="2346" w:type="dxa"/>
            <w:hideMark/>
          </w:tcPr>
          <w:p w:rsidR="00396A41" w:rsidRPr="00D14254" w:rsidRDefault="00396A41" w:rsidP="00921457">
            <w:pPr>
              <w:widowControl w:val="0"/>
              <w:autoSpaceDE w:val="0"/>
              <w:autoSpaceDN w:val="0"/>
              <w:adjustRightInd w:val="0"/>
              <w:jc w:val="center"/>
            </w:pPr>
            <w:r w:rsidRPr="00D14254">
              <w:t>0.987</w:t>
            </w:r>
          </w:p>
        </w:tc>
      </w:tr>
      <w:tr w:rsidR="00396A41" w:rsidRPr="00D14254" w:rsidTr="000E432E">
        <w:trPr>
          <w:jc w:val="center"/>
        </w:trPr>
        <w:tc>
          <w:tcPr>
            <w:tcW w:w="2088" w:type="dxa"/>
          </w:tcPr>
          <w:p w:rsidR="00396A41" w:rsidRPr="00D14254" w:rsidRDefault="00396A41" w:rsidP="00921457">
            <w:pPr>
              <w:widowControl w:val="0"/>
              <w:autoSpaceDE w:val="0"/>
              <w:autoSpaceDN w:val="0"/>
              <w:adjustRightInd w:val="0"/>
            </w:pPr>
          </w:p>
        </w:tc>
        <w:tc>
          <w:tcPr>
            <w:tcW w:w="3077" w:type="dxa"/>
            <w:hideMark/>
          </w:tcPr>
          <w:p w:rsidR="00396A41" w:rsidRPr="00D14254" w:rsidRDefault="00396A41" w:rsidP="00921457">
            <w:pPr>
              <w:widowControl w:val="0"/>
              <w:autoSpaceDE w:val="0"/>
              <w:autoSpaceDN w:val="0"/>
              <w:adjustRightInd w:val="0"/>
              <w:jc w:val="center"/>
            </w:pPr>
            <w:r w:rsidRPr="00D14254">
              <w:t>(0.0150)</w:t>
            </w:r>
          </w:p>
        </w:tc>
        <w:tc>
          <w:tcPr>
            <w:tcW w:w="2346" w:type="dxa"/>
            <w:hideMark/>
          </w:tcPr>
          <w:p w:rsidR="00396A41" w:rsidRPr="00D14254" w:rsidRDefault="00396A41" w:rsidP="00921457">
            <w:pPr>
              <w:widowControl w:val="0"/>
              <w:autoSpaceDE w:val="0"/>
              <w:autoSpaceDN w:val="0"/>
              <w:adjustRightInd w:val="0"/>
              <w:jc w:val="center"/>
            </w:pPr>
            <w:r w:rsidRPr="00D14254">
              <w:t>(0.0148)</w:t>
            </w:r>
          </w:p>
        </w:tc>
      </w:tr>
      <w:tr w:rsidR="00396A41" w:rsidRPr="00D14254" w:rsidTr="000E432E">
        <w:trPr>
          <w:jc w:val="center"/>
        </w:trPr>
        <w:tc>
          <w:tcPr>
            <w:tcW w:w="2088" w:type="dxa"/>
            <w:hideMark/>
          </w:tcPr>
          <w:p w:rsidR="00396A41" w:rsidRPr="00D14254" w:rsidRDefault="00396A41" w:rsidP="00921457">
            <w:pPr>
              <w:widowControl w:val="0"/>
              <w:autoSpaceDE w:val="0"/>
              <w:autoSpaceDN w:val="0"/>
              <w:adjustRightInd w:val="0"/>
            </w:pPr>
            <w:r w:rsidRPr="00D14254">
              <w:t>Marital status</w:t>
            </w:r>
          </w:p>
        </w:tc>
        <w:tc>
          <w:tcPr>
            <w:tcW w:w="3077" w:type="dxa"/>
            <w:hideMark/>
          </w:tcPr>
          <w:p w:rsidR="00396A41" w:rsidRPr="00D14254" w:rsidRDefault="00396A41" w:rsidP="00921457">
            <w:pPr>
              <w:widowControl w:val="0"/>
              <w:autoSpaceDE w:val="0"/>
              <w:autoSpaceDN w:val="0"/>
              <w:adjustRightInd w:val="0"/>
              <w:jc w:val="center"/>
            </w:pPr>
            <w:r w:rsidRPr="00D14254">
              <w:t>0.0645</w:t>
            </w:r>
          </w:p>
        </w:tc>
        <w:tc>
          <w:tcPr>
            <w:tcW w:w="2346" w:type="dxa"/>
            <w:hideMark/>
          </w:tcPr>
          <w:p w:rsidR="00396A41" w:rsidRPr="00D14254" w:rsidRDefault="00396A41" w:rsidP="00921457">
            <w:pPr>
              <w:widowControl w:val="0"/>
              <w:autoSpaceDE w:val="0"/>
              <w:autoSpaceDN w:val="0"/>
              <w:adjustRightInd w:val="0"/>
              <w:jc w:val="center"/>
            </w:pPr>
            <w:r w:rsidRPr="00D14254">
              <w:t>1.067</w:t>
            </w:r>
          </w:p>
        </w:tc>
      </w:tr>
      <w:tr w:rsidR="00396A41" w:rsidRPr="00D14254" w:rsidTr="000E432E">
        <w:trPr>
          <w:jc w:val="center"/>
        </w:trPr>
        <w:tc>
          <w:tcPr>
            <w:tcW w:w="2088" w:type="dxa"/>
          </w:tcPr>
          <w:p w:rsidR="00396A41" w:rsidRPr="00D14254" w:rsidRDefault="00396A41" w:rsidP="00921457">
            <w:pPr>
              <w:widowControl w:val="0"/>
              <w:autoSpaceDE w:val="0"/>
              <w:autoSpaceDN w:val="0"/>
              <w:adjustRightInd w:val="0"/>
            </w:pPr>
          </w:p>
        </w:tc>
        <w:tc>
          <w:tcPr>
            <w:tcW w:w="3077" w:type="dxa"/>
            <w:hideMark/>
          </w:tcPr>
          <w:p w:rsidR="00396A41" w:rsidRPr="00D14254" w:rsidRDefault="00396A41" w:rsidP="00921457">
            <w:pPr>
              <w:widowControl w:val="0"/>
              <w:autoSpaceDE w:val="0"/>
              <w:autoSpaceDN w:val="0"/>
              <w:adjustRightInd w:val="0"/>
              <w:jc w:val="center"/>
            </w:pPr>
            <w:r w:rsidRPr="00D14254">
              <w:t>(0.217)</w:t>
            </w:r>
          </w:p>
        </w:tc>
        <w:tc>
          <w:tcPr>
            <w:tcW w:w="2346" w:type="dxa"/>
            <w:hideMark/>
          </w:tcPr>
          <w:p w:rsidR="00396A41" w:rsidRPr="00D14254" w:rsidRDefault="00396A41" w:rsidP="00921457">
            <w:pPr>
              <w:widowControl w:val="0"/>
              <w:autoSpaceDE w:val="0"/>
              <w:autoSpaceDN w:val="0"/>
              <w:adjustRightInd w:val="0"/>
              <w:jc w:val="center"/>
            </w:pPr>
            <w:r w:rsidRPr="00D14254">
              <w:t>(0.231)</w:t>
            </w:r>
          </w:p>
        </w:tc>
      </w:tr>
      <w:tr w:rsidR="00396A41" w:rsidRPr="00D14254" w:rsidTr="000E432E">
        <w:trPr>
          <w:jc w:val="center"/>
        </w:trPr>
        <w:tc>
          <w:tcPr>
            <w:tcW w:w="2088" w:type="dxa"/>
            <w:hideMark/>
          </w:tcPr>
          <w:p w:rsidR="00396A41" w:rsidRPr="00D14254" w:rsidRDefault="00396A41" w:rsidP="00921457">
            <w:pPr>
              <w:widowControl w:val="0"/>
              <w:autoSpaceDE w:val="0"/>
              <w:autoSpaceDN w:val="0"/>
              <w:adjustRightInd w:val="0"/>
            </w:pPr>
            <w:r w:rsidRPr="00D14254">
              <w:t>Household size</w:t>
            </w:r>
          </w:p>
        </w:tc>
        <w:tc>
          <w:tcPr>
            <w:tcW w:w="3077" w:type="dxa"/>
            <w:hideMark/>
          </w:tcPr>
          <w:p w:rsidR="00396A41" w:rsidRPr="00D14254" w:rsidRDefault="00396A41" w:rsidP="00921457">
            <w:pPr>
              <w:widowControl w:val="0"/>
              <w:autoSpaceDE w:val="0"/>
              <w:autoSpaceDN w:val="0"/>
              <w:adjustRightInd w:val="0"/>
              <w:jc w:val="center"/>
            </w:pPr>
            <w:r w:rsidRPr="00D14254">
              <w:t>0.0759**</w:t>
            </w:r>
          </w:p>
        </w:tc>
        <w:tc>
          <w:tcPr>
            <w:tcW w:w="2346" w:type="dxa"/>
            <w:hideMark/>
          </w:tcPr>
          <w:p w:rsidR="00396A41" w:rsidRPr="00D14254" w:rsidRDefault="00396A41" w:rsidP="00921457">
            <w:pPr>
              <w:widowControl w:val="0"/>
              <w:autoSpaceDE w:val="0"/>
              <w:autoSpaceDN w:val="0"/>
              <w:adjustRightInd w:val="0"/>
              <w:jc w:val="center"/>
            </w:pPr>
            <w:r w:rsidRPr="00D14254">
              <w:t>1.079**</w:t>
            </w:r>
          </w:p>
        </w:tc>
      </w:tr>
      <w:tr w:rsidR="00396A41" w:rsidRPr="00D14254" w:rsidTr="000E432E">
        <w:trPr>
          <w:jc w:val="center"/>
        </w:trPr>
        <w:tc>
          <w:tcPr>
            <w:tcW w:w="2088" w:type="dxa"/>
          </w:tcPr>
          <w:p w:rsidR="00396A41" w:rsidRPr="00D14254" w:rsidRDefault="00396A41" w:rsidP="00921457">
            <w:pPr>
              <w:widowControl w:val="0"/>
              <w:autoSpaceDE w:val="0"/>
              <w:autoSpaceDN w:val="0"/>
              <w:adjustRightInd w:val="0"/>
            </w:pPr>
          </w:p>
        </w:tc>
        <w:tc>
          <w:tcPr>
            <w:tcW w:w="3077" w:type="dxa"/>
            <w:hideMark/>
          </w:tcPr>
          <w:p w:rsidR="00396A41" w:rsidRPr="00D14254" w:rsidRDefault="00396A41" w:rsidP="00921457">
            <w:pPr>
              <w:widowControl w:val="0"/>
              <w:autoSpaceDE w:val="0"/>
              <w:autoSpaceDN w:val="0"/>
              <w:adjustRightInd w:val="0"/>
              <w:jc w:val="center"/>
            </w:pPr>
            <w:r w:rsidRPr="00D14254">
              <w:t>(0.0297)</w:t>
            </w:r>
          </w:p>
        </w:tc>
        <w:tc>
          <w:tcPr>
            <w:tcW w:w="2346" w:type="dxa"/>
            <w:hideMark/>
          </w:tcPr>
          <w:p w:rsidR="00396A41" w:rsidRPr="00D14254" w:rsidRDefault="00396A41" w:rsidP="00921457">
            <w:pPr>
              <w:widowControl w:val="0"/>
              <w:autoSpaceDE w:val="0"/>
              <w:autoSpaceDN w:val="0"/>
              <w:adjustRightInd w:val="0"/>
              <w:jc w:val="center"/>
            </w:pPr>
            <w:r w:rsidRPr="00D14254">
              <w:t>(0.0320)</w:t>
            </w:r>
          </w:p>
        </w:tc>
      </w:tr>
      <w:tr w:rsidR="00396A41" w:rsidRPr="00D14254" w:rsidTr="000E432E">
        <w:trPr>
          <w:jc w:val="center"/>
        </w:trPr>
        <w:tc>
          <w:tcPr>
            <w:tcW w:w="2088" w:type="dxa"/>
            <w:hideMark/>
          </w:tcPr>
          <w:p w:rsidR="00396A41" w:rsidRPr="00D14254" w:rsidRDefault="00396A41" w:rsidP="00921457">
            <w:pPr>
              <w:widowControl w:val="0"/>
              <w:autoSpaceDE w:val="0"/>
              <w:autoSpaceDN w:val="0"/>
              <w:adjustRightInd w:val="0"/>
            </w:pPr>
            <w:r w:rsidRPr="00D14254">
              <w:t>income</w:t>
            </w:r>
          </w:p>
        </w:tc>
        <w:tc>
          <w:tcPr>
            <w:tcW w:w="3077" w:type="dxa"/>
            <w:hideMark/>
          </w:tcPr>
          <w:p w:rsidR="00396A41" w:rsidRPr="00D14254" w:rsidRDefault="00396A41" w:rsidP="00921457">
            <w:pPr>
              <w:widowControl w:val="0"/>
              <w:autoSpaceDE w:val="0"/>
              <w:autoSpaceDN w:val="0"/>
              <w:adjustRightInd w:val="0"/>
              <w:jc w:val="center"/>
            </w:pPr>
            <w:r w:rsidRPr="00D14254">
              <w:t>7.77e-06*</w:t>
            </w:r>
          </w:p>
        </w:tc>
        <w:tc>
          <w:tcPr>
            <w:tcW w:w="2346" w:type="dxa"/>
            <w:hideMark/>
          </w:tcPr>
          <w:p w:rsidR="00396A41" w:rsidRPr="00D14254" w:rsidRDefault="00396A41" w:rsidP="00921457">
            <w:pPr>
              <w:widowControl w:val="0"/>
              <w:autoSpaceDE w:val="0"/>
              <w:autoSpaceDN w:val="0"/>
              <w:adjustRightInd w:val="0"/>
              <w:jc w:val="center"/>
            </w:pPr>
            <w:r w:rsidRPr="00D14254">
              <w:t>1.000*</w:t>
            </w:r>
          </w:p>
        </w:tc>
      </w:tr>
      <w:tr w:rsidR="00396A41" w:rsidRPr="00D14254" w:rsidTr="000E432E">
        <w:trPr>
          <w:jc w:val="center"/>
        </w:trPr>
        <w:tc>
          <w:tcPr>
            <w:tcW w:w="2088" w:type="dxa"/>
          </w:tcPr>
          <w:p w:rsidR="00396A41" w:rsidRPr="00D14254" w:rsidRDefault="00396A41" w:rsidP="00921457">
            <w:pPr>
              <w:widowControl w:val="0"/>
              <w:autoSpaceDE w:val="0"/>
              <w:autoSpaceDN w:val="0"/>
              <w:adjustRightInd w:val="0"/>
            </w:pPr>
          </w:p>
        </w:tc>
        <w:tc>
          <w:tcPr>
            <w:tcW w:w="3077" w:type="dxa"/>
            <w:hideMark/>
          </w:tcPr>
          <w:p w:rsidR="00396A41" w:rsidRPr="00D14254" w:rsidRDefault="00396A41" w:rsidP="00921457">
            <w:pPr>
              <w:widowControl w:val="0"/>
              <w:autoSpaceDE w:val="0"/>
              <w:autoSpaceDN w:val="0"/>
              <w:adjustRightInd w:val="0"/>
              <w:jc w:val="center"/>
            </w:pPr>
            <w:r w:rsidRPr="00D14254">
              <w:t>(4.67e-06)</w:t>
            </w:r>
          </w:p>
        </w:tc>
        <w:tc>
          <w:tcPr>
            <w:tcW w:w="2346" w:type="dxa"/>
            <w:hideMark/>
          </w:tcPr>
          <w:p w:rsidR="00396A41" w:rsidRPr="00D14254" w:rsidRDefault="00396A41" w:rsidP="00921457">
            <w:pPr>
              <w:widowControl w:val="0"/>
              <w:autoSpaceDE w:val="0"/>
              <w:autoSpaceDN w:val="0"/>
              <w:adjustRightInd w:val="0"/>
              <w:jc w:val="center"/>
            </w:pPr>
            <w:r w:rsidRPr="00D14254">
              <w:t>(4.67e-06)</w:t>
            </w:r>
          </w:p>
        </w:tc>
      </w:tr>
      <w:tr w:rsidR="00396A41" w:rsidRPr="00D14254" w:rsidTr="000E432E">
        <w:trPr>
          <w:jc w:val="center"/>
        </w:trPr>
        <w:tc>
          <w:tcPr>
            <w:tcW w:w="2088" w:type="dxa"/>
            <w:hideMark/>
          </w:tcPr>
          <w:p w:rsidR="00396A41" w:rsidRPr="00D14254" w:rsidRDefault="00396A41" w:rsidP="00921457">
            <w:pPr>
              <w:widowControl w:val="0"/>
              <w:autoSpaceDE w:val="0"/>
              <w:autoSpaceDN w:val="0"/>
              <w:adjustRightInd w:val="0"/>
            </w:pPr>
            <w:r w:rsidRPr="00D14254">
              <w:t>location</w:t>
            </w:r>
          </w:p>
        </w:tc>
        <w:tc>
          <w:tcPr>
            <w:tcW w:w="3077" w:type="dxa"/>
            <w:hideMark/>
          </w:tcPr>
          <w:p w:rsidR="00396A41" w:rsidRPr="00D14254" w:rsidRDefault="00396A41" w:rsidP="00921457">
            <w:pPr>
              <w:widowControl w:val="0"/>
              <w:autoSpaceDE w:val="0"/>
              <w:autoSpaceDN w:val="0"/>
              <w:adjustRightInd w:val="0"/>
              <w:jc w:val="center"/>
            </w:pPr>
            <w:r w:rsidRPr="00D14254">
              <w:t>0.262</w:t>
            </w:r>
          </w:p>
        </w:tc>
        <w:tc>
          <w:tcPr>
            <w:tcW w:w="2346" w:type="dxa"/>
            <w:hideMark/>
          </w:tcPr>
          <w:p w:rsidR="00396A41" w:rsidRPr="00D14254" w:rsidRDefault="00396A41" w:rsidP="00921457">
            <w:pPr>
              <w:widowControl w:val="0"/>
              <w:autoSpaceDE w:val="0"/>
              <w:autoSpaceDN w:val="0"/>
              <w:adjustRightInd w:val="0"/>
              <w:jc w:val="center"/>
            </w:pPr>
            <w:r w:rsidRPr="00D14254">
              <w:t>1.299</w:t>
            </w:r>
          </w:p>
        </w:tc>
      </w:tr>
      <w:tr w:rsidR="00396A41" w:rsidRPr="00D14254" w:rsidTr="000E432E">
        <w:trPr>
          <w:jc w:val="center"/>
        </w:trPr>
        <w:tc>
          <w:tcPr>
            <w:tcW w:w="2088" w:type="dxa"/>
          </w:tcPr>
          <w:p w:rsidR="00396A41" w:rsidRPr="00D14254" w:rsidRDefault="00396A41" w:rsidP="00921457">
            <w:pPr>
              <w:widowControl w:val="0"/>
              <w:autoSpaceDE w:val="0"/>
              <w:autoSpaceDN w:val="0"/>
              <w:adjustRightInd w:val="0"/>
            </w:pPr>
          </w:p>
        </w:tc>
        <w:tc>
          <w:tcPr>
            <w:tcW w:w="3077" w:type="dxa"/>
            <w:hideMark/>
          </w:tcPr>
          <w:p w:rsidR="00396A41" w:rsidRPr="00D14254" w:rsidRDefault="00396A41" w:rsidP="00921457">
            <w:pPr>
              <w:widowControl w:val="0"/>
              <w:autoSpaceDE w:val="0"/>
              <w:autoSpaceDN w:val="0"/>
              <w:adjustRightInd w:val="0"/>
              <w:jc w:val="center"/>
            </w:pPr>
            <w:r w:rsidRPr="00D14254">
              <w:t>(0.314)</w:t>
            </w:r>
          </w:p>
        </w:tc>
        <w:tc>
          <w:tcPr>
            <w:tcW w:w="2346" w:type="dxa"/>
            <w:hideMark/>
          </w:tcPr>
          <w:p w:rsidR="00396A41" w:rsidRPr="00D14254" w:rsidRDefault="00396A41" w:rsidP="00921457">
            <w:pPr>
              <w:widowControl w:val="0"/>
              <w:autoSpaceDE w:val="0"/>
              <w:autoSpaceDN w:val="0"/>
              <w:adjustRightInd w:val="0"/>
              <w:jc w:val="center"/>
            </w:pPr>
            <w:r w:rsidRPr="00D14254">
              <w:t>(0.408)</w:t>
            </w:r>
          </w:p>
        </w:tc>
      </w:tr>
      <w:tr w:rsidR="00396A41" w:rsidRPr="00D14254" w:rsidTr="000E432E">
        <w:trPr>
          <w:jc w:val="center"/>
        </w:trPr>
        <w:tc>
          <w:tcPr>
            <w:tcW w:w="2088" w:type="dxa"/>
            <w:hideMark/>
          </w:tcPr>
          <w:p w:rsidR="00396A41" w:rsidRPr="00D14254" w:rsidRDefault="00396A41" w:rsidP="00921457">
            <w:pPr>
              <w:widowControl w:val="0"/>
              <w:autoSpaceDE w:val="0"/>
              <w:autoSpaceDN w:val="0"/>
              <w:adjustRightInd w:val="0"/>
            </w:pPr>
            <w:r w:rsidRPr="00D14254">
              <w:t>Years of business experience</w:t>
            </w:r>
          </w:p>
        </w:tc>
        <w:tc>
          <w:tcPr>
            <w:tcW w:w="3077" w:type="dxa"/>
            <w:hideMark/>
          </w:tcPr>
          <w:p w:rsidR="00396A41" w:rsidRPr="00D14254" w:rsidRDefault="00396A41" w:rsidP="00921457">
            <w:pPr>
              <w:widowControl w:val="0"/>
              <w:autoSpaceDE w:val="0"/>
              <w:autoSpaceDN w:val="0"/>
              <w:adjustRightInd w:val="0"/>
              <w:jc w:val="center"/>
            </w:pPr>
            <w:r w:rsidRPr="00D14254">
              <w:t>0.0454</w:t>
            </w:r>
          </w:p>
        </w:tc>
        <w:tc>
          <w:tcPr>
            <w:tcW w:w="2346" w:type="dxa"/>
            <w:hideMark/>
          </w:tcPr>
          <w:p w:rsidR="00396A41" w:rsidRPr="00D14254" w:rsidRDefault="00396A41" w:rsidP="00921457">
            <w:pPr>
              <w:widowControl w:val="0"/>
              <w:autoSpaceDE w:val="0"/>
              <w:autoSpaceDN w:val="0"/>
              <w:adjustRightInd w:val="0"/>
              <w:jc w:val="center"/>
            </w:pPr>
            <w:r w:rsidRPr="00D14254">
              <w:t>1.046</w:t>
            </w:r>
          </w:p>
        </w:tc>
      </w:tr>
      <w:tr w:rsidR="00396A41" w:rsidRPr="00D14254" w:rsidTr="000E432E">
        <w:trPr>
          <w:jc w:val="center"/>
        </w:trPr>
        <w:tc>
          <w:tcPr>
            <w:tcW w:w="2088" w:type="dxa"/>
          </w:tcPr>
          <w:p w:rsidR="00396A41" w:rsidRPr="00D14254" w:rsidRDefault="00396A41" w:rsidP="00921457">
            <w:pPr>
              <w:widowControl w:val="0"/>
              <w:autoSpaceDE w:val="0"/>
              <w:autoSpaceDN w:val="0"/>
              <w:adjustRightInd w:val="0"/>
            </w:pPr>
          </w:p>
        </w:tc>
        <w:tc>
          <w:tcPr>
            <w:tcW w:w="3077" w:type="dxa"/>
            <w:hideMark/>
          </w:tcPr>
          <w:p w:rsidR="00396A41" w:rsidRPr="00D14254" w:rsidRDefault="00396A41" w:rsidP="00921457">
            <w:pPr>
              <w:widowControl w:val="0"/>
              <w:autoSpaceDE w:val="0"/>
              <w:autoSpaceDN w:val="0"/>
              <w:adjustRightInd w:val="0"/>
              <w:jc w:val="center"/>
            </w:pPr>
            <w:r w:rsidRPr="00D14254">
              <w:t>(0.0468)</w:t>
            </w:r>
          </w:p>
        </w:tc>
        <w:tc>
          <w:tcPr>
            <w:tcW w:w="2346" w:type="dxa"/>
            <w:hideMark/>
          </w:tcPr>
          <w:p w:rsidR="00396A41" w:rsidRPr="00D14254" w:rsidRDefault="00396A41" w:rsidP="00921457">
            <w:pPr>
              <w:widowControl w:val="0"/>
              <w:autoSpaceDE w:val="0"/>
              <w:autoSpaceDN w:val="0"/>
              <w:adjustRightInd w:val="0"/>
              <w:jc w:val="center"/>
            </w:pPr>
            <w:r w:rsidRPr="00D14254">
              <w:t>(0.0490)</w:t>
            </w:r>
          </w:p>
        </w:tc>
      </w:tr>
      <w:tr w:rsidR="00396A41" w:rsidRPr="00D14254" w:rsidTr="000E432E">
        <w:trPr>
          <w:jc w:val="center"/>
        </w:trPr>
        <w:tc>
          <w:tcPr>
            <w:tcW w:w="2088" w:type="dxa"/>
            <w:hideMark/>
          </w:tcPr>
          <w:p w:rsidR="00396A41" w:rsidRPr="00D14254" w:rsidRDefault="00396A41" w:rsidP="00921457">
            <w:pPr>
              <w:widowControl w:val="0"/>
              <w:autoSpaceDE w:val="0"/>
              <w:autoSpaceDN w:val="0"/>
              <w:adjustRightInd w:val="0"/>
            </w:pPr>
            <w:r w:rsidRPr="00D14254">
              <w:t>1.acc_type</w:t>
            </w:r>
          </w:p>
        </w:tc>
        <w:tc>
          <w:tcPr>
            <w:tcW w:w="3077" w:type="dxa"/>
            <w:hideMark/>
          </w:tcPr>
          <w:p w:rsidR="00396A41" w:rsidRPr="00D14254" w:rsidRDefault="00396A41" w:rsidP="00921457">
            <w:pPr>
              <w:widowControl w:val="0"/>
              <w:autoSpaceDE w:val="0"/>
              <w:autoSpaceDN w:val="0"/>
              <w:adjustRightInd w:val="0"/>
              <w:jc w:val="center"/>
            </w:pPr>
            <w:r w:rsidRPr="00D14254">
              <w:t>0.786***</w:t>
            </w:r>
          </w:p>
        </w:tc>
        <w:tc>
          <w:tcPr>
            <w:tcW w:w="2346" w:type="dxa"/>
            <w:hideMark/>
          </w:tcPr>
          <w:p w:rsidR="00396A41" w:rsidRPr="00D14254" w:rsidRDefault="00396A41" w:rsidP="00921457">
            <w:pPr>
              <w:widowControl w:val="0"/>
              <w:autoSpaceDE w:val="0"/>
              <w:autoSpaceDN w:val="0"/>
              <w:adjustRightInd w:val="0"/>
              <w:jc w:val="center"/>
            </w:pPr>
            <w:r w:rsidRPr="00D14254">
              <w:t>2.195***</w:t>
            </w:r>
          </w:p>
        </w:tc>
      </w:tr>
      <w:tr w:rsidR="00396A41" w:rsidRPr="00D14254" w:rsidTr="000E432E">
        <w:trPr>
          <w:jc w:val="center"/>
        </w:trPr>
        <w:tc>
          <w:tcPr>
            <w:tcW w:w="2088" w:type="dxa"/>
          </w:tcPr>
          <w:p w:rsidR="00396A41" w:rsidRPr="00D14254" w:rsidRDefault="00396A41" w:rsidP="00921457">
            <w:pPr>
              <w:widowControl w:val="0"/>
              <w:autoSpaceDE w:val="0"/>
              <w:autoSpaceDN w:val="0"/>
              <w:adjustRightInd w:val="0"/>
            </w:pPr>
          </w:p>
        </w:tc>
        <w:tc>
          <w:tcPr>
            <w:tcW w:w="3077" w:type="dxa"/>
            <w:hideMark/>
          </w:tcPr>
          <w:p w:rsidR="00396A41" w:rsidRPr="00D14254" w:rsidRDefault="00396A41" w:rsidP="00921457">
            <w:pPr>
              <w:widowControl w:val="0"/>
              <w:autoSpaceDE w:val="0"/>
              <w:autoSpaceDN w:val="0"/>
              <w:adjustRightInd w:val="0"/>
              <w:jc w:val="center"/>
            </w:pPr>
            <w:r w:rsidRPr="00D14254">
              <w:t>(0.286)</w:t>
            </w:r>
          </w:p>
        </w:tc>
        <w:tc>
          <w:tcPr>
            <w:tcW w:w="2346" w:type="dxa"/>
            <w:hideMark/>
          </w:tcPr>
          <w:p w:rsidR="00396A41" w:rsidRPr="00D14254" w:rsidRDefault="00396A41" w:rsidP="00921457">
            <w:pPr>
              <w:widowControl w:val="0"/>
              <w:autoSpaceDE w:val="0"/>
              <w:autoSpaceDN w:val="0"/>
              <w:adjustRightInd w:val="0"/>
              <w:jc w:val="center"/>
            </w:pPr>
            <w:r w:rsidRPr="00D14254">
              <w:t>(0.627)</w:t>
            </w:r>
          </w:p>
        </w:tc>
      </w:tr>
      <w:tr w:rsidR="00396A41" w:rsidRPr="00D14254" w:rsidTr="000E432E">
        <w:trPr>
          <w:jc w:val="center"/>
        </w:trPr>
        <w:tc>
          <w:tcPr>
            <w:tcW w:w="2088" w:type="dxa"/>
            <w:hideMark/>
          </w:tcPr>
          <w:p w:rsidR="00396A41" w:rsidRPr="00D14254" w:rsidRDefault="00396A41" w:rsidP="00921457">
            <w:pPr>
              <w:widowControl w:val="0"/>
              <w:autoSpaceDE w:val="0"/>
              <w:autoSpaceDN w:val="0"/>
              <w:adjustRightInd w:val="0"/>
            </w:pPr>
            <w:r w:rsidRPr="00D14254">
              <w:t>2.acc_type</w:t>
            </w:r>
          </w:p>
        </w:tc>
        <w:tc>
          <w:tcPr>
            <w:tcW w:w="3077" w:type="dxa"/>
            <w:hideMark/>
          </w:tcPr>
          <w:p w:rsidR="00396A41" w:rsidRPr="00D14254" w:rsidRDefault="00396A41" w:rsidP="00921457">
            <w:pPr>
              <w:widowControl w:val="0"/>
              <w:autoSpaceDE w:val="0"/>
              <w:autoSpaceDN w:val="0"/>
              <w:adjustRightInd w:val="0"/>
              <w:jc w:val="center"/>
            </w:pPr>
            <w:r w:rsidRPr="00D14254">
              <w:t>1.803*</w:t>
            </w:r>
          </w:p>
        </w:tc>
        <w:tc>
          <w:tcPr>
            <w:tcW w:w="2346" w:type="dxa"/>
            <w:hideMark/>
          </w:tcPr>
          <w:p w:rsidR="00396A41" w:rsidRPr="00D14254" w:rsidRDefault="00396A41" w:rsidP="00921457">
            <w:pPr>
              <w:widowControl w:val="0"/>
              <w:autoSpaceDE w:val="0"/>
              <w:autoSpaceDN w:val="0"/>
              <w:adjustRightInd w:val="0"/>
              <w:jc w:val="center"/>
            </w:pPr>
            <w:r w:rsidRPr="00D14254">
              <w:t>6.067*</w:t>
            </w:r>
          </w:p>
        </w:tc>
      </w:tr>
      <w:tr w:rsidR="00396A41" w:rsidRPr="00D14254" w:rsidTr="000E432E">
        <w:trPr>
          <w:jc w:val="center"/>
        </w:trPr>
        <w:tc>
          <w:tcPr>
            <w:tcW w:w="2088" w:type="dxa"/>
          </w:tcPr>
          <w:p w:rsidR="00396A41" w:rsidRPr="00D14254" w:rsidRDefault="00396A41" w:rsidP="00921457">
            <w:pPr>
              <w:widowControl w:val="0"/>
              <w:autoSpaceDE w:val="0"/>
              <w:autoSpaceDN w:val="0"/>
              <w:adjustRightInd w:val="0"/>
            </w:pPr>
          </w:p>
        </w:tc>
        <w:tc>
          <w:tcPr>
            <w:tcW w:w="3077" w:type="dxa"/>
            <w:hideMark/>
          </w:tcPr>
          <w:p w:rsidR="00396A41" w:rsidRPr="00D14254" w:rsidRDefault="00396A41" w:rsidP="00921457">
            <w:pPr>
              <w:widowControl w:val="0"/>
              <w:autoSpaceDE w:val="0"/>
              <w:autoSpaceDN w:val="0"/>
              <w:adjustRightInd w:val="0"/>
              <w:jc w:val="center"/>
            </w:pPr>
            <w:r w:rsidRPr="00D14254">
              <w:t>(1.062)</w:t>
            </w:r>
          </w:p>
        </w:tc>
        <w:tc>
          <w:tcPr>
            <w:tcW w:w="2346" w:type="dxa"/>
            <w:hideMark/>
          </w:tcPr>
          <w:p w:rsidR="00396A41" w:rsidRPr="00D14254" w:rsidRDefault="00396A41" w:rsidP="00921457">
            <w:pPr>
              <w:widowControl w:val="0"/>
              <w:autoSpaceDE w:val="0"/>
              <w:autoSpaceDN w:val="0"/>
              <w:adjustRightInd w:val="0"/>
              <w:jc w:val="center"/>
            </w:pPr>
            <w:r w:rsidRPr="00D14254">
              <w:t>(6.441)</w:t>
            </w:r>
          </w:p>
        </w:tc>
      </w:tr>
      <w:tr w:rsidR="00396A41" w:rsidRPr="00D14254" w:rsidTr="000E432E">
        <w:trPr>
          <w:jc w:val="center"/>
        </w:trPr>
        <w:tc>
          <w:tcPr>
            <w:tcW w:w="2088" w:type="dxa"/>
            <w:hideMark/>
          </w:tcPr>
          <w:p w:rsidR="00396A41" w:rsidRPr="00D14254" w:rsidRDefault="00396A41" w:rsidP="00921457">
            <w:pPr>
              <w:widowControl w:val="0"/>
              <w:autoSpaceDE w:val="0"/>
              <w:autoSpaceDN w:val="0"/>
              <w:adjustRightInd w:val="0"/>
            </w:pPr>
            <w:r w:rsidRPr="00D14254">
              <w:t>3.acc_type</w:t>
            </w:r>
          </w:p>
        </w:tc>
        <w:tc>
          <w:tcPr>
            <w:tcW w:w="3077" w:type="dxa"/>
            <w:hideMark/>
          </w:tcPr>
          <w:p w:rsidR="00396A41" w:rsidRPr="00D14254" w:rsidRDefault="00396A41" w:rsidP="00921457">
            <w:pPr>
              <w:widowControl w:val="0"/>
              <w:autoSpaceDE w:val="0"/>
              <w:autoSpaceDN w:val="0"/>
              <w:adjustRightInd w:val="0"/>
              <w:jc w:val="center"/>
            </w:pPr>
            <w:r w:rsidRPr="00D14254">
              <w:t>0.294</w:t>
            </w:r>
          </w:p>
        </w:tc>
        <w:tc>
          <w:tcPr>
            <w:tcW w:w="2346" w:type="dxa"/>
            <w:hideMark/>
          </w:tcPr>
          <w:p w:rsidR="00396A41" w:rsidRPr="00D14254" w:rsidRDefault="00396A41" w:rsidP="00921457">
            <w:pPr>
              <w:widowControl w:val="0"/>
              <w:autoSpaceDE w:val="0"/>
              <w:autoSpaceDN w:val="0"/>
              <w:adjustRightInd w:val="0"/>
              <w:jc w:val="center"/>
            </w:pPr>
            <w:r w:rsidRPr="00D14254">
              <w:t>1.341</w:t>
            </w:r>
          </w:p>
        </w:tc>
      </w:tr>
      <w:tr w:rsidR="00396A41" w:rsidRPr="00D14254" w:rsidTr="000E432E">
        <w:trPr>
          <w:jc w:val="center"/>
        </w:trPr>
        <w:tc>
          <w:tcPr>
            <w:tcW w:w="2088" w:type="dxa"/>
          </w:tcPr>
          <w:p w:rsidR="00396A41" w:rsidRPr="00D14254" w:rsidRDefault="00396A41" w:rsidP="00921457">
            <w:pPr>
              <w:widowControl w:val="0"/>
              <w:autoSpaceDE w:val="0"/>
              <w:autoSpaceDN w:val="0"/>
              <w:adjustRightInd w:val="0"/>
            </w:pPr>
          </w:p>
        </w:tc>
        <w:tc>
          <w:tcPr>
            <w:tcW w:w="3077" w:type="dxa"/>
            <w:hideMark/>
          </w:tcPr>
          <w:p w:rsidR="00396A41" w:rsidRPr="00D14254" w:rsidRDefault="00396A41" w:rsidP="00921457">
            <w:pPr>
              <w:widowControl w:val="0"/>
              <w:autoSpaceDE w:val="0"/>
              <w:autoSpaceDN w:val="0"/>
              <w:adjustRightInd w:val="0"/>
              <w:jc w:val="center"/>
            </w:pPr>
            <w:r w:rsidRPr="00D14254">
              <w:t>(2.301)</w:t>
            </w:r>
          </w:p>
        </w:tc>
        <w:tc>
          <w:tcPr>
            <w:tcW w:w="2346" w:type="dxa"/>
            <w:hideMark/>
          </w:tcPr>
          <w:p w:rsidR="00396A41" w:rsidRPr="00D14254" w:rsidRDefault="00396A41" w:rsidP="00921457">
            <w:pPr>
              <w:widowControl w:val="0"/>
              <w:autoSpaceDE w:val="0"/>
              <w:autoSpaceDN w:val="0"/>
              <w:adjustRightInd w:val="0"/>
              <w:jc w:val="center"/>
            </w:pPr>
            <w:r w:rsidRPr="00D14254">
              <w:t>(3.086)</w:t>
            </w:r>
          </w:p>
        </w:tc>
      </w:tr>
      <w:tr w:rsidR="00396A41" w:rsidRPr="00D14254" w:rsidTr="000E432E">
        <w:trPr>
          <w:jc w:val="center"/>
        </w:trPr>
        <w:tc>
          <w:tcPr>
            <w:tcW w:w="2088" w:type="dxa"/>
            <w:hideMark/>
          </w:tcPr>
          <w:p w:rsidR="00396A41" w:rsidRPr="00D14254" w:rsidRDefault="00396A41" w:rsidP="00921457">
            <w:pPr>
              <w:widowControl w:val="0"/>
              <w:autoSpaceDE w:val="0"/>
              <w:autoSpaceDN w:val="0"/>
              <w:adjustRightInd w:val="0"/>
            </w:pPr>
            <w:r w:rsidRPr="00D14254">
              <w:t>1.ni_facility</w:t>
            </w:r>
          </w:p>
        </w:tc>
        <w:tc>
          <w:tcPr>
            <w:tcW w:w="3077" w:type="dxa"/>
            <w:hideMark/>
          </w:tcPr>
          <w:p w:rsidR="00396A41" w:rsidRPr="00D14254" w:rsidRDefault="00396A41" w:rsidP="00921457">
            <w:pPr>
              <w:widowControl w:val="0"/>
              <w:autoSpaceDE w:val="0"/>
              <w:autoSpaceDN w:val="0"/>
              <w:adjustRightInd w:val="0"/>
              <w:jc w:val="center"/>
            </w:pPr>
            <w:r w:rsidRPr="00D14254">
              <w:t>-1.743**</w:t>
            </w:r>
          </w:p>
        </w:tc>
        <w:tc>
          <w:tcPr>
            <w:tcW w:w="2346" w:type="dxa"/>
            <w:hideMark/>
          </w:tcPr>
          <w:p w:rsidR="00396A41" w:rsidRPr="00D14254" w:rsidRDefault="00396A41" w:rsidP="00921457">
            <w:pPr>
              <w:widowControl w:val="0"/>
              <w:autoSpaceDE w:val="0"/>
              <w:autoSpaceDN w:val="0"/>
              <w:adjustRightInd w:val="0"/>
              <w:jc w:val="center"/>
            </w:pPr>
            <w:r w:rsidRPr="00D14254">
              <w:t>0.175**</w:t>
            </w:r>
          </w:p>
        </w:tc>
      </w:tr>
      <w:tr w:rsidR="00396A41" w:rsidRPr="00D14254" w:rsidTr="000E432E">
        <w:trPr>
          <w:jc w:val="center"/>
        </w:trPr>
        <w:tc>
          <w:tcPr>
            <w:tcW w:w="2088" w:type="dxa"/>
          </w:tcPr>
          <w:p w:rsidR="00396A41" w:rsidRPr="00D14254" w:rsidRDefault="00396A41" w:rsidP="00921457">
            <w:pPr>
              <w:widowControl w:val="0"/>
              <w:autoSpaceDE w:val="0"/>
              <w:autoSpaceDN w:val="0"/>
              <w:adjustRightInd w:val="0"/>
            </w:pPr>
          </w:p>
        </w:tc>
        <w:tc>
          <w:tcPr>
            <w:tcW w:w="3077" w:type="dxa"/>
            <w:hideMark/>
          </w:tcPr>
          <w:p w:rsidR="00396A41" w:rsidRPr="00D14254" w:rsidRDefault="00396A41" w:rsidP="00921457">
            <w:pPr>
              <w:widowControl w:val="0"/>
              <w:autoSpaceDE w:val="0"/>
              <w:autoSpaceDN w:val="0"/>
              <w:adjustRightInd w:val="0"/>
              <w:jc w:val="center"/>
            </w:pPr>
            <w:r w:rsidRPr="00D14254">
              <w:t>(0.789)</w:t>
            </w:r>
          </w:p>
        </w:tc>
        <w:tc>
          <w:tcPr>
            <w:tcW w:w="2346" w:type="dxa"/>
            <w:hideMark/>
          </w:tcPr>
          <w:p w:rsidR="00396A41" w:rsidRPr="00D14254" w:rsidRDefault="00396A41" w:rsidP="00921457">
            <w:pPr>
              <w:widowControl w:val="0"/>
              <w:autoSpaceDE w:val="0"/>
              <w:autoSpaceDN w:val="0"/>
              <w:adjustRightInd w:val="0"/>
              <w:jc w:val="center"/>
            </w:pPr>
            <w:r w:rsidRPr="00D14254">
              <w:t>(0.138)</w:t>
            </w:r>
          </w:p>
        </w:tc>
      </w:tr>
      <w:tr w:rsidR="00396A41" w:rsidRPr="00D14254" w:rsidTr="000E432E">
        <w:trPr>
          <w:jc w:val="center"/>
        </w:trPr>
        <w:tc>
          <w:tcPr>
            <w:tcW w:w="2088" w:type="dxa"/>
            <w:hideMark/>
          </w:tcPr>
          <w:p w:rsidR="00396A41" w:rsidRPr="00D14254" w:rsidRDefault="00396A41" w:rsidP="00921457">
            <w:pPr>
              <w:widowControl w:val="0"/>
              <w:autoSpaceDE w:val="0"/>
              <w:autoSpaceDN w:val="0"/>
              <w:adjustRightInd w:val="0"/>
            </w:pPr>
            <w:r w:rsidRPr="00D14254">
              <w:t>2.ni_facility</w:t>
            </w:r>
          </w:p>
        </w:tc>
        <w:tc>
          <w:tcPr>
            <w:tcW w:w="3077" w:type="dxa"/>
            <w:hideMark/>
          </w:tcPr>
          <w:p w:rsidR="00396A41" w:rsidRPr="00D14254" w:rsidRDefault="00396A41" w:rsidP="00921457">
            <w:pPr>
              <w:widowControl w:val="0"/>
              <w:autoSpaceDE w:val="0"/>
              <w:autoSpaceDN w:val="0"/>
              <w:adjustRightInd w:val="0"/>
              <w:jc w:val="center"/>
            </w:pPr>
            <w:r w:rsidRPr="00D14254">
              <w:t>0.488</w:t>
            </w:r>
          </w:p>
        </w:tc>
        <w:tc>
          <w:tcPr>
            <w:tcW w:w="2346" w:type="dxa"/>
            <w:hideMark/>
          </w:tcPr>
          <w:p w:rsidR="00396A41" w:rsidRPr="00D14254" w:rsidRDefault="00396A41" w:rsidP="00921457">
            <w:pPr>
              <w:widowControl w:val="0"/>
              <w:autoSpaceDE w:val="0"/>
              <w:autoSpaceDN w:val="0"/>
              <w:adjustRightInd w:val="0"/>
              <w:jc w:val="center"/>
            </w:pPr>
            <w:r w:rsidRPr="00D14254">
              <w:t>1.630</w:t>
            </w:r>
          </w:p>
        </w:tc>
      </w:tr>
      <w:tr w:rsidR="00396A41" w:rsidRPr="00D14254" w:rsidTr="000E432E">
        <w:trPr>
          <w:jc w:val="center"/>
        </w:trPr>
        <w:tc>
          <w:tcPr>
            <w:tcW w:w="2088" w:type="dxa"/>
          </w:tcPr>
          <w:p w:rsidR="00396A41" w:rsidRPr="00D14254" w:rsidRDefault="00396A41" w:rsidP="00921457">
            <w:pPr>
              <w:widowControl w:val="0"/>
              <w:autoSpaceDE w:val="0"/>
              <w:autoSpaceDN w:val="0"/>
              <w:adjustRightInd w:val="0"/>
            </w:pPr>
          </w:p>
        </w:tc>
        <w:tc>
          <w:tcPr>
            <w:tcW w:w="3077" w:type="dxa"/>
            <w:hideMark/>
          </w:tcPr>
          <w:p w:rsidR="00396A41" w:rsidRPr="00D14254" w:rsidRDefault="00396A41" w:rsidP="00921457">
            <w:pPr>
              <w:widowControl w:val="0"/>
              <w:autoSpaceDE w:val="0"/>
              <w:autoSpaceDN w:val="0"/>
              <w:adjustRightInd w:val="0"/>
              <w:jc w:val="center"/>
            </w:pPr>
            <w:r w:rsidRPr="00D14254">
              <w:t>(0.326)</w:t>
            </w:r>
          </w:p>
        </w:tc>
        <w:tc>
          <w:tcPr>
            <w:tcW w:w="2346" w:type="dxa"/>
            <w:hideMark/>
          </w:tcPr>
          <w:p w:rsidR="00396A41" w:rsidRPr="00D14254" w:rsidRDefault="00396A41" w:rsidP="00921457">
            <w:pPr>
              <w:widowControl w:val="0"/>
              <w:autoSpaceDE w:val="0"/>
              <w:autoSpaceDN w:val="0"/>
              <w:adjustRightInd w:val="0"/>
              <w:jc w:val="center"/>
            </w:pPr>
            <w:r w:rsidRPr="00D14254">
              <w:t>(0.531)</w:t>
            </w:r>
          </w:p>
        </w:tc>
      </w:tr>
      <w:tr w:rsidR="00396A41" w:rsidRPr="00D14254" w:rsidTr="000E432E">
        <w:trPr>
          <w:jc w:val="center"/>
        </w:trPr>
        <w:tc>
          <w:tcPr>
            <w:tcW w:w="2088" w:type="dxa"/>
            <w:hideMark/>
          </w:tcPr>
          <w:p w:rsidR="00396A41" w:rsidRPr="00D14254" w:rsidRDefault="00396A41" w:rsidP="00921457">
            <w:pPr>
              <w:widowControl w:val="0"/>
              <w:autoSpaceDE w:val="0"/>
              <w:autoSpaceDN w:val="0"/>
              <w:adjustRightInd w:val="0"/>
            </w:pPr>
            <w:r w:rsidRPr="00D14254">
              <w:t>3.ni_facility</w:t>
            </w:r>
          </w:p>
        </w:tc>
        <w:tc>
          <w:tcPr>
            <w:tcW w:w="3077" w:type="dxa"/>
            <w:hideMark/>
          </w:tcPr>
          <w:p w:rsidR="00396A41" w:rsidRPr="00D14254" w:rsidRDefault="00396A41" w:rsidP="00921457">
            <w:pPr>
              <w:widowControl w:val="0"/>
              <w:autoSpaceDE w:val="0"/>
              <w:autoSpaceDN w:val="0"/>
              <w:adjustRightInd w:val="0"/>
              <w:jc w:val="center"/>
            </w:pPr>
            <w:r w:rsidRPr="00D14254">
              <w:t>1.064</w:t>
            </w:r>
          </w:p>
        </w:tc>
        <w:tc>
          <w:tcPr>
            <w:tcW w:w="2346" w:type="dxa"/>
            <w:hideMark/>
          </w:tcPr>
          <w:p w:rsidR="00396A41" w:rsidRPr="00D14254" w:rsidRDefault="00396A41" w:rsidP="00921457">
            <w:pPr>
              <w:widowControl w:val="0"/>
              <w:autoSpaceDE w:val="0"/>
              <w:autoSpaceDN w:val="0"/>
              <w:adjustRightInd w:val="0"/>
              <w:jc w:val="center"/>
            </w:pPr>
            <w:r w:rsidRPr="00D14254">
              <w:t>2.899</w:t>
            </w:r>
          </w:p>
        </w:tc>
      </w:tr>
      <w:tr w:rsidR="00396A41" w:rsidRPr="00D14254" w:rsidTr="000E432E">
        <w:trPr>
          <w:jc w:val="center"/>
        </w:trPr>
        <w:tc>
          <w:tcPr>
            <w:tcW w:w="2088" w:type="dxa"/>
          </w:tcPr>
          <w:p w:rsidR="00396A41" w:rsidRPr="00D14254" w:rsidRDefault="00396A41" w:rsidP="00921457">
            <w:pPr>
              <w:widowControl w:val="0"/>
              <w:autoSpaceDE w:val="0"/>
              <w:autoSpaceDN w:val="0"/>
              <w:adjustRightInd w:val="0"/>
            </w:pPr>
          </w:p>
        </w:tc>
        <w:tc>
          <w:tcPr>
            <w:tcW w:w="3077" w:type="dxa"/>
            <w:hideMark/>
          </w:tcPr>
          <w:p w:rsidR="00396A41" w:rsidRPr="00D14254" w:rsidRDefault="00396A41" w:rsidP="00921457">
            <w:pPr>
              <w:widowControl w:val="0"/>
              <w:autoSpaceDE w:val="0"/>
              <w:autoSpaceDN w:val="0"/>
              <w:adjustRightInd w:val="0"/>
              <w:jc w:val="center"/>
            </w:pPr>
            <w:r w:rsidRPr="00D14254">
              <w:t>(0.784)</w:t>
            </w:r>
          </w:p>
        </w:tc>
        <w:tc>
          <w:tcPr>
            <w:tcW w:w="2346" w:type="dxa"/>
            <w:hideMark/>
          </w:tcPr>
          <w:p w:rsidR="00396A41" w:rsidRPr="00D14254" w:rsidRDefault="00396A41" w:rsidP="00921457">
            <w:pPr>
              <w:widowControl w:val="0"/>
              <w:autoSpaceDE w:val="0"/>
              <w:autoSpaceDN w:val="0"/>
              <w:adjustRightInd w:val="0"/>
              <w:jc w:val="center"/>
            </w:pPr>
            <w:r w:rsidRPr="00D14254">
              <w:t>(2.271)</w:t>
            </w:r>
          </w:p>
        </w:tc>
      </w:tr>
      <w:tr w:rsidR="00396A41" w:rsidRPr="00D14254" w:rsidTr="000E432E">
        <w:trPr>
          <w:jc w:val="center"/>
        </w:trPr>
        <w:tc>
          <w:tcPr>
            <w:tcW w:w="2088" w:type="dxa"/>
            <w:hideMark/>
          </w:tcPr>
          <w:p w:rsidR="00396A41" w:rsidRPr="00D14254" w:rsidRDefault="00396A41" w:rsidP="00921457">
            <w:pPr>
              <w:widowControl w:val="0"/>
              <w:autoSpaceDE w:val="0"/>
              <w:autoSpaceDN w:val="0"/>
              <w:adjustRightInd w:val="0"/>
            </w:pPr>
            <w:r w:rsidRPr="00D14254">
              <w:t>5.ni_facility</w:t>
            </w:r>
          </w:p>
        </w:tc>
        <w:tc>
          <w:tcPr>
            <w:tcW w:w="3077" w:type="dxa"/>
            <w:hideMark/>
          </w:tcPr>
          <w:p w:rsidR="00396A41" w:rsidRPr="00D14254" w:rsidRDefault="00396A41" w:rsidP="00921457">
            <w:pPr>
              <w:widowControl w:val="0"/>
              <w:autoSpaceDE w:val="0"/>
              <w:autoSpaceDN w:val="0"/>
              <w:adjustRightInd w:val="0"/>
              <w:jc w:val="center"/>
            </w:pPr>
            <w:r w:rsidRPr="00D14254">
              <w:t>0.274</w:t>
            </w:r>
          </w:p>
        </w:tc>
        <w:tc>
          <w:tcPr>
            <w:tcW w:w="2346" w:type="dxa"/>
            <w:hideMark/>
          </w:tcPr>
          <w:p w:rsidR="00396A41" w:rsidRPr="00D14254" w:rsidRDefault="00396A41" w:rsidP="00921457">
            <w:pPr>
              <w:widowControl w:val="0"/>
              <w:autoSpaceDE w:val="0"/>
              <w:autoSpaceDN w:val="0"/>
              <w:adjustRightInd w:val="0"/>
              <w:jc w:val="center"/>
            </w:pPr>
            <w:r w:rsidRPr="00D14254">
              <w:t>1.315</w:t>
            </w:r>
          </w:p>
        </w:tc>
      </w:tr>
      <w:tr w:rsidR="00396A41" w:rsidRPr="00D14254" w:rsidTr="000E432E">
        <w:trPr>
          <w:jc w:val="center"/>
        </w:trPr>
        <w:tc>
          <w:tcPr>
            <w:tcW w:w="2088" w:type="dxa"/>
          </w:tcPr>
          <w:p w:rsidR="00396A41" w:rsidRPr="00D14254" w:rsidRDefault="00396A41" w:rsidP="00921457">
            <w:pPr>
              <w:widowControl w:val="0"/>
              <w:autoSpaceDE w:val="0"/>
              <w:autoSpaceDN w:val="0"/>
              <w:adjustRightInd w:val="0"/>
            </w:pPr>
          </w:p>
        </w:tc>
        <w:tc>
          <w:tcPr>
            <w:tcW w:w="3077" w:type="dxa"/>
            <w:hideMark/>
          </w:tcPr>
          <w:p w:rsidR="00396A41" w:rsidRPr="00D14254" w:rsidRDefault="00396A41" w:rsidP="00921457">
            <w:pPr>
              <w:widowControl w:val="0"/>
              <w:autoSpaceDE w:val="0"/>
              <w:autoSpaceDN w:val="0"/>
              <w:adjustRightInd w:val="0"/>
              <w:jc w:val="center"/>
            </w:pPr>
            <w:r w:rsidRPr="00D14254">
              <w:t>(0.589)</w:t>
            </w:r>
          </w:p>
        </w:tc>
        <w:tc>
          <w:tcPr>
            <w:tcW w:w="2346" w:type="dxa"/>
            <w:hideMark/>
          </w:tcPr>
          <w:p w:rsidR="00396A41" w:rsidRPr="00D14254" w:rsidRDefault="00396A41" w:rsidP="00921457">
            <w:pPr>
              <w:widowControl w:val="0"/>
              <w:autoSpaceDE w:val="0"/>
              <w:autoSpaceDN w:val="0"/>
              <w:adjustRightInd w:val="0"/>
              <w:jc w:val="center"/>
            </w:pPr>
            <w:r w:rsidRPr="00D14254">
              <w:t>(0.774)</w:t>
            </w:r>
          </w:p>
        </w:tc>
      </w:tr>
      <w:tr w:rsidR="00396A41" w:rsidRPr="00D14254" w:rsidTr="000E432E">
        <w:trPr>
          <w:jc w:val="center"/>
        </w:trPr>
        <w:tc>
          <w:tcPr>
            <w:tcW w:w="2088" w:type="dxa"/>
            <w:hideMark/>
          </w:tcPr>
          <w:p w:rsidR="00396A41" w:rsidRPr="00D14254" w:rsidRDefault="00396A41" w:rsidP="00921457">
            <w:pPr>
              <w:widowControl w:val="0"/>
              <w:autoSpaceDE w:val="0"/>
              <w:autoSpaceDN w:val="0"/>
              <w:adjustRightInd w:val="0"/>
            </w:pPr>
            <w:r w:rsidRPr="00D14254">
              <w:t>6.ni_facility</w:t>
            </w:r>
          </w:p>
        </w:tc>
        <w:tc>
          <w:tcPr>
            <w:tcW w:w="3077" w:type="dxa"/>
            <w:hideMark/>
          </w:tcPr>
          <w:p w:rsidR="00396A41" w:rsidRPr="00D14254" w:rsidRDefault="00396A41" w:rsidP="00921457">
            <w:pPr>
              <w:widowControl w:val="0"/>
              <w:autoSpaceDE w:val="0"/>
              <w:autoSpaceDN w:val="0"/>
              <w:adjustRightInd w:val="0"/>
              <w:jc w:val="center"/>
            </w:pPr>
            <w:r w:rsidRPr="00D14254">
              <w:t>1.907*</w:t>
            </w:r>
          </w:p>
        </w:tc>
        <w:tc>
          <w:tcPr>
            <w:tcW w:w="2346" w:type="dxa"/>
            <w:hideMark/>
          </w:tcPr>
          <w:p w:rsidR="00396A41" w:rsidRPr="00D14254" w:rsidRDefault="00396A41" w:rsidP="00921457">
            <w:pPr>
              <w:widowControl w:val="0"/>
              <w:autoSpaceDE w:val="0"/>
              <w:autoSpaceDN w:val="0"/>
              <w:adjustRightInd w:val="0"/>
              <w:jc w:val="center"/>
            </w:pPr>
            <w:r w:rsidRPr="00D14254">
              <w:t>6.730*</w:t>
            </w:r>
          </w:p>
        </w:tc>
      </w:tr>
      <w:tr w:rsidR="00396A41" w:rsidRPr="00D14254" w:rsidTr="000E432E">
        <w:trPr>
          <w:jc w:val="center"/>
        </w:trPr>
        <w:tc>
          <w:tcPr>
            <w:tcW w:w="2088" w:type="dxa"/>
          </w:tcPr>
          <w:p w:rsidR="00396A41" w:rsidRPr="00D14254" w:rsidRDefault="00396A41" w:rsidP="00921457">
            <w:pPr>
              <w:widowControl w:val="0"/>
              <w:autoSpaceDE w:val="0"/>
              <w:autoSpaceDN w:val="0"/>
              <w:adjustRightInd w:val="0"/>
            </w:pPr>
          </w:p>
        </w:tc>
        <w:tc>
          <w:tcPr>
            <w:tcW w:w="3077" w:type="dxa"/>
            <w:hideMark/>
          </w:tcPr>
          <w:p w:rsidR="00396A41" w:rsidRPr="00D14254" w:rsidRDefault="00396A41" w:rsidP="00921457">
            <w:pPr>
              <w:widowControl w:val="0"/>
              <w:autoSpaceDE w:val="0"/>
              <w:autoSpaceDN w:val="0"/>
              <w:adjustRightInd w:val="0"/>
              <w:jc w:val="center"/>
            </w:pPr>
            <w:r w:rsidRPr="00D14254">
              <w:t>(1.045)</w:t>
            </w:r>
          </w:p>
        </w:tc>
        <w:tc>
          <w:tcPr>
            <w:tcW w:w="2346" w:type="dxa"/>
            <w:hideMark/>
          </w:tcPr>
          <w:p w:rsidR="00396A41" w:rsidRPr="00D14254" w:rsidRDefault="00396A41" w:rsidP="00921457">
            <w:pPr>
              <w:widowControl w:val="0"/>
              <w:autoSpaceDE w:val="0"/>
              <w:autoSpaceDN w:val="0"/>
              <w:adjustRightInd w:val="0"/>
              <w:jc w:val="center"/>
            </w:pPr>
            <w:r w:rsidRPr="00D14254">
              <w:t>(7.032)</w:t>
            </w:r>
          </w:p>
        </w:tc>
      </w:tr>
      <w:tr w:rsidR="00396A41" w:rsidRPr="00D14254" w:rsidTr="000E432E">
        <w:trPr>
          <w:jc w:val="center"/>
        </w:trPr>
        <w:tc>
          <w:tcPr>
            <w:tcW w:w="2088" w:type="dxa"/>
            <w:hideMark/>
          </w:tcPr>
          <w:p w:rsidR="00396A41" w:rsidRPr="00D14254" w:rsidRDefault="00396A41" w:rsidP="00921457">
            <w:pPr>
              <w:widowControl w:val="0"/>
              <w:autoSpaceDE w:val="0"/>
              <w:autoSpaceDN w:val="0"/>
              <w:adjustRightInd w:val="0"/>
            </w:pPr>
            <w:r w:rsidRPr="00D14254">
              <w:t>inv_in_ni_fi</w:t>
            </w:r>
          </w:p>
        </w:tc>
        <w:tc>
          <w:tcPr>
            <w:tcW w:w="3077" w:type="dxa"/>
            <w:hideMark/>
          </w:tcPr>
          <w:p w:rsidR="00396A41" w:rsidRPr="00D14254" w:rsidRDefault="00396A41" w:rsidP="00921457">
            <w:pPr>
              <w:widowControl w:val="0"/>
              <w:autoSpaceDE w:val="0"/>
              <w:autoSpaceDN w:val="0"/>
              <w:adjustRightInd w:val="0"/>
              <w:jc w:val="center"/>
            </w:pPr>
            <w:r w:rsidRPr="00D14254">
              <w:t>0.0122</w:t>
            </w:r>
          </w:p>
        </w:tc>
        <w:tc>
          <w:tcPr>
            <w:tcW w:w="2346" w:type="dxa"/>
            <w:hideMark/>
          </w:tcPr>
          <w:p w:rsidR="00396A41" w:rsidRPr="00D14254" w:rsidRDefault="00396A41" w:rsidP="00921457">
            <w:pPr>
              <w:widowControl w:val="0"/>
              <w:autoSpaceDE w:val="0"/>
              <w:autoSpaceDN w:val="0"/>
              <w:adjustRightInd w:val="0"/>
              <w:jc w:val="center"/>
            </w:pPr>
            <w:r w:rsidRPr="00D14254">
              <w:t>1.012</w:t>
            </w:r>
          </w:p>
        </w:tc>
      </w:tr>
      <w:tr w:rsidR="00396A41" w:rsidRPr="00D14254" w:rsidTr="000E432E">
        <w:trPr>
          <w:jc w:val="center"/>
        </w:trPr>
        <w:tc>
          <w:tcPr>
            <w:tcW w:w="2088" w:type="dxa"/>
          </w:tcPr>
          <w:p w:rsidR="00396A41" w:rsidRPr="00D14254" w:rsidRDefault="00396A41" w:rsidP="00921457">
            <w:pPr>
              <w:widowControl w:val="0"/>
              <w:autoSpaceDE w:val="0"/>
              <w:autoSpaceDN w:val="0"/>
              <w:adjustRightInd w:val="0"/>
            </w:pPr>
          </w:p>
        </w:tc>
        <w:tc>
          <w:tcPr>
            <w:tcW w:w="3077" w:type="dxa"/>
            <w:hideMark/>
          </w:tcPr>
          <w:p w:rsidR="00396A41" w:rsidRPr="00D14254" w:rsidRDefault="00396A41" w:rsidP="00921457">
            <w:pPr>
              <w:widowControl w:val="0"/>
              <w:autoSpaceDE w:val="0"/>
              <w:autoSpaceDN w:val="0"/>
              <w:adjustRightInd w:val="0"/>
              <w:jc w:val="center"/>
            </w:pPr>
            <w:r w:rsidRPr="00D14254">
              <w:t>(0.318)</w:t>
            </w:r>
          </w:p>
        </w:tc>
        <w:tc>
          <w:tcPr>
            <w:tcW w:w="2346" w:type="dxa"/>
            <w:hideMark/>
          </w:tcPr>
          <w:p w:rsidR="00396A41" w:rsidRPr="00D14254" w:rsidRDefault="00396A41" w:rsidP="00921457">
            <w:pPr>
              <w:widowControl w:val="0"/>
              <w:autoSpaceDE w:val="0"/>
              <w:autoSpaceDN w:val="0"/>
              <w:adjustRightInd w:val="0"/>
              <w:jc w:val="center"/>
            </w:pPr>
            <w:r w:rsidRPr="00D14254">
              <w:t>(0.322)</w:t>
            </w:r>
          </w:p>
        </w:tc>
      </w:tr>
      <w:tr w:rsidR="00396A41" w:rsidRPr="00D14254" w:rsidTr="000E432E">
        <w:trPr>
          <w:jc w:val="center"/>
        </w:trPr>
        <w:tc>
          <w:tcPr>
            <w:tcW w:w="2088" w:type="dxa"/>
            <w:hideMark/>
          </w:tcPr>
          <w:p w:rsidR="00396A41" w:rsidRPr="00D14254" w:rsidRDefault="00396A41" w:rsidP="00921457">
            <w:pPr>
              <w:widowControl w:val="0"/>
              <w:autoSpaceDE w:val="0"/>
              <w:autoSpaceDN w:val="0"/>
              <w:adjustRightInd w:val="0"/>
            </w:pPr>
            <w:r w:rsidRPr="00D14254">
              <w:t>Membership of coop society</w:t>
            </w:r>
          </w:p>
        </w:tc>
        <w:tc>
          <w:tcPr>
            <w:tcW w:w="3077" w:type="dxa"/>
            <w:hideMark/>
          </w:tcPr>
          <w:p w:rsidR="00396A41" w:rsidRPr="00D14254" w:rsidRDefault="00396A41" w:rsidP="00921457">
            <w:pPr>
              <w:widowControl w:val="0"/>
              <w:autoSpaceDE w:val="0"/>
              <w:autoSpaceDN w:val="0"/>
              <w:adjustRightInd w:val="0"/>
              <w:jc w:val="center"/>
            </w:pPr>
            <w:r w:rsidRPr="00D14254">
              <w:t>1.557***</w:t>
            </w:r>
          </w:p>
        </w:tc>
        <w:tc>
          <w:tcPr>
            <w:tcW w:w="2346" w:type="dxa"/>
            <w:hideMark/>
          </w:tcPr>
          <w:p w:rsidR="00396A41" w:rsidRPr="00D14254" w:rsidRDefault="00396A41" w:rsidP="00921457">
            <w:pPr>
              <w:widowControl w:val="0"/>
              <w:autoSpaceDE w:val="0"/>
              <w:autoSpaceDN w:val="0"/>
              <w:adjustRightInd w:val="0"/>
              <w:jc w:val="center"/>
            </w:pPr>
            <w:r w:rsidRPr="00D14254">
              <w:t>4.744***</w:t>
            </w:r>
          </w:p>
        </w:tc>
      </w:tr>
      <w:tr w:rsidR="00396A41" w:rsidRPr="00D14254" w:rsidTr="000E432E">
        <w:trPr>
          <w:jc w:val="center"/>
        </w:trPr>
        <w:tc>
          <w:tcPr>
            <w:tcW w:w="2088" w:type="dxa"/>
          </w:tcPr>
          <w:p w:rsidR="00396A41" w:rsidRPr="00D14254" w:rsidRDefault="00396A41" w:rsidP="00921457">
            <w:pPr>
              <w:widowControl w:val="0"/>
              <w:autoSpaceDE w:val="0"/>
              <w:autoSpaceDN w:val="0"/>
              <w:adjustRightInd w:val="0"/>
            </w:pPr>
          </w:p>
        </w:tc>
        <w:tc>
          <w:tcPr>
            <w:tcW w:w="3077" w:type="dxa"/>
            <w:hideMark/>
          </w:tcPr>
          <w:p w:rsidR="00396A41" w:rsidRPr="00D14254" w:rsidRDefault="00396A41" w:rsidP="00921457">
            <w:pPr>
              <w:widowControl w:val="0"/>
              <w:autoSpaceDE w:val="0"/>
              <w:autoSpaceDN w:val="0"/>
              <w:adjustRightInd w:val="0"/>
              <w:jc w:val="center"/>
            </w:pPr>
            <w:r w:rsidRPr="00D14254">
              <w:t>(0.263)</w:t>
            </w:r>
          </w:p>
        </w:tc>
        <w:tc>
          <w:tcPr>
            <w:tcW w:w="2346" w:type="dxa"/>
            <w:hideMark/>
          </w:tcPr>
          <w:p w:rsidR="00396A41" w:rsidRPr="00D14254" w:rsidRDefault="00396A41" w:rsidP="00921457">
            <w:pPr>
              <w:widowControl w:val="0"/>
              <w:autoSpaceDE w:val="0"/>
              <w:autoSpaceDN w:val="0"/>
              <w:adjustRightInd w:val="0"/>
              <w:jc w:val="center"/>
            </w:pPr>
            <w:r w:rsidRPr="00D14254">
              <w:t>(1.248)</w:t>
            </w:r>
          </w:p>
        </w:tc>
      </w:tr>
      <w:tr w:rsidR="00396A41" w:rsidRPr="00D14254" w:rsidTr="000E432E">
        <w:trPr>
          <w:jc w:val="center"/>
        </w:trPr>
        <w:tc>
          <w:tcPr>
            <w:tcW w:w="2088" w:type="dxa"/>
            <w:hideMark/>
          </w:tcPr>
          <w:p w:rsidR="00396A41" w:rsidRPr="00D14254" w:rsidRDefault="00396A41" w:rsidP="00921457">
            <w:pPr>
              <w:widowControl w:val="0"/>
              <w:autoSpaceDE w:val="0"/>
              <w:autoSpaceDN w:val="0"/>
              <w:adjustRightInd w:val="0"/>
            </w:pPr>
            <w:r w:rsidRPr="00D14254">
              <w:t>Constant</w:t>
            </w:r>
          </w:p>
        </w:tc>
        <w:tc>
          <w:tcPr>
            <w:tcW w:w="3077" w:type="dxa"/>
            <w:hideMark/>
          </w:tcPr>
          <w:p w:rsidR="00396A41" w:rsidRPr="00D14254" w:rsidRDefault="00396A41" w:rsidP="00921457">
            <w:pPr>
              <w:widowControl w:val="0"/>
              <w:autoSpaceDE w:val="0"/>
              <w:autoSpaceDN w:val="0"/>
              <w:adjustRightInd w:val="0"/>
              <w:jc w:val="center"/>
            </w:pPr>
            <w:r w:rsidRPr="00D14254">
              <w:t>-2.286***</w:t>
            </w:r>
          </w:p>
        </w:tc>
        <w:tc>
          <w:tcPr>
            <w:tcW w:w="2346" w:type="dxa"/>
            <w:hideMark/>
          </w:tcPr>
          <w:p w:rsidR="00396A41" w:rsidRPr="00D14254" w:rsidRDefault="00396A41" w:rsidP="00921457">
            <w:pPr>
              <w:widowControl w:val="0"/>
              <w:autoSpaceDE w:val="0"/>
              <w:autoSpaceDN w:val="0"/>
              <w:adjustRightInd w:val="0"/>
              <w:jc w:val="center"/>
            </w:pPr>
            <w:r w:rsidRPr="00D14254">
              <w:t>0.102***</w:t>
            </w:r>
          </w:p>
        </w:tc>
      </w:tr>
      <w:tr w:rsidR="00396A41" w:rsidRPr="00D14254" w:rsidTr="000E432E">
        <w:trPr>
          <w:jc w:val="center"/>
        </w:trPr>
        <w:tc>
          <w:tcPr>
            <w:tcW w:w="2088" w:type="dxa"/>
          </w:tcPr>
          <w:p w:rsidR="00396A41" w:rsidRPr="00D14254" w:rsidRDefault="00396A41" w:rsidP="00921457">
            <w:pPr>
              <w:widowControl w:val="0"/>
              <w:autoSpaceDE w:val="0"/>
              <w:autoSpaceDN w:val="0"/>
              <w:adjustRightInd w:val="0"/>
            </w:pPr>
          </w:p>
        </w:tc>
        <w:tc>
          <w:tcPr>
            <w:tcW w:w="3077" w:type="dxa"/>
            <w:hideMark/>
          </w:tcPr>
          <w:p w:rsidR="00396A41" w:rsidRPr="00D14254" w:rsidRDefault="00396A41" w:rsidP="00921457">
            <w:pPr>
              <w:widowControl w:val="0"/>
              <w:autoSpaceDE w:val="0"/>
              <w:autoSpaceDN w:val="0"/>
              <w:adjustRightInd w:val="0"/>
              <w:jc w:val="center"/>
            </w:pPr>
            <w:r w:rsidRPr="00D14254">
              <w:t>(0.638)</w:t>
            </w:r>
          </w:p>
        </w:tc>
        <w:tc>
          <w:tcPr>
            <w:tcW w:w="2346" w:type="dxa"/>
            <w:hideMark/>
          </w:tcPr>
          <w:p w:rsidR="00396A41" w:rsidRPr="00D14254" w:rsidRDefault="00396A41" w:rsidP="00921457">
            <w:pPr>
              <w:widowControl w:val="0"/>
              <w:autoSpaceDE w:val="0"/>
              <w:autoSpaceDN w:val="0"/>
              <w:adjustRightInd w:val="0"/>
              <w:jc w:val="center"/>
            </w:pPr>
            <w:r w:rsidRPr="00D14254">
              <w:t>(0.0649)</w:t>
            </w:r>
          </w:p>
        </w:tc>
      </w:tr>
      <w:tr w:rsidR="00396A41" w:rsidRPr="00D14254" w:rsidTr="000E432E">
        <w:trPr>
          <w:jc w:val="center"/>
        </w:trPr>
        <w:tc>
          <w:tcPr>
            <w:tcW w:w="2088" w:type="dxa"/>
            <w:tcBorders>
              <w:top w:val="nil"/>
              <w:left w:val="nil"/>
              <w:bottom w:val="single" w:sz="6" w:space="0" w:color="auto"/>
              <w:right w:val="nil"/>
            </w:tcBorders>
            <w:hideMark/>
          </w:tcPr>
          <w:p w:rsidR="00396A41" w:rsidRPr="00D14254" w:rsidRDefault="00396A41" w:rsidP="00921457">
            <w:pPr>
              <w:widowControl w:val="0"/>
              <w:autoSpaceDE w:val="0"/>
              <w:autoSpaceDN w:val="0"/>
              <w:adjustRightInd w:val="0"/>
            </w:pPr>
            <w:r w:rsidRPr="00D14254">
              <w:t>Observations</w:t>
            </w:r>
          </w:p>
        </w:tc>
        <w:tc>
          <w:tcPr>
            <w:tcW w:w="3077" w:type="dxa"/>
            <w:tcBorders>
              <w:top w:val="nil"/>
              <w:left w:val="nil"/>
              <w:bottom w:val="single" w:sz="6" w:space="0" w:color="auto"/>
              <w:right w:val="nil"/>
            </w:tcBorders>
            <w:hideMark/>
          </w:tcPr>
          <w:p w:rsidR="00396A41" w:rsidRPr="00D14254" w:rsidRDefault="00396A41" w:rsidP="00921457">
            <w:pPr>
              <w:widowControl w:val="0"/>
              <w:autoSpaceDE w:val="0"/>
              <w:autoSpaceDN w:val="0"/>
              <w:adjustRightInd w:val="0"/>
              <w:jc w:val="center"/>
            </w:pPr>
            <w:r w:rsidRPr="00D14254">
              <w:t>429</w:t>
            </w:r>
          </w:p>
        </w:tc>
        <w:tc>
          <w:tcPr>
            <w:tcW w:w="2346" w:type="dxa"/>
            <w:tcBorders>
              <w:top w:val="nil"/>
              <w:left w:val="nil"/>
              <w:bottom w:val="single" w:sz="6" w:space="0" w:color="auto"/>
              <w:right w:val="nil"/>
            </w:tcBorders>
            <w:hideMark/>
          </w:tcPr>
          <w:p w:rsidR="00396A41" w:rsidRPr="00D14254" w:rsidRDefault="00396A41" w:rsidP="00921457">
            <w:pPr>
              <w:widowControl w:val="0"/>
              <w:autoSpaceDE w:val="0"/>
              <w:autoSpaceDN w:val="0"/>
              <w:adjustRightInd w:val="0"/>
              <w:jc w:val="center"/>
            </w:pPr>
            <w:r w:rsidRPr="00D14254">
              <w:t>429</w:t>
            </w:r>
          </w:p>
        </w:tc>
      </w:tr>
    </w:tbl>
    <w:p w:rsidR="00396A41" w:rsidRPr="00FA0E55" w:rsidRDefault="00396A41" w:rsidP="000E432E">
      <w:pPr>
        <w:ind w:firstLine="720"/>
        <w:rPr>
          <w:sz w:val="18"/>
        </w:rPr>
      </w:pPr>
      <w:r w:rsidRPr="00FA0E55">
        <w:rPr>
          <w:sz w:val="18"/>
        </w:rPr>
        <w:t>Note: Robust standard errors in parentheses *** p&lt;0.01, ** p&lt;0.05, * p&lt;0.1</w:t>
      </w:r>
    </w:p>
    <w:p w:rsidR="000E432E" w:rsidRDefault="000E432E" w:rsidP="00396A41">
      <w:pPr>
        <w:jc w:val="both"/>
      </w:pPr>
    </w:p>
    <w:p w:rsidR="00396A41" w:rsidRDefault="00396A41" w:rsidP="00396A41">
      <w:pPr>
        <w:jc w:val="both"/>
      </w:pPr>
      <w:r w:rsidRPr="00D14254">
        <w:t xml:space="preserve">Furthermore, Table 5 indicates the various coefficients and odd ratios of estimated logit model for the household livelihood improvement vis change in the household savings as a result of enjoying non interest financial services. The estimated logit model indicates that the coefficient of religion was found to be statistically significant at 5% level. The estimated value of this  coefficient indicates that Muslim Clients have higher log odd livelihood improvement from the non interest financial services by about 1.76 units than otherwise. This is in line with a priori expectation because most of the clients of non interest financial services in the study area are Muslims and therefore the impact of these services will be much higher on Muslims than otherwise. Moreover, the estimated odd ratio of this variable was found to be significant at5% level. The estimated value of the odd ratio indicates that the odd of household change in savings from non interest financial services for the clients that are non Muslims is 0.172 times lower than that of the clients that are Muslims. </w:t>
      </w:r>
    </w:p>
    <w:p w:rsidR="00FA0E55" w:rsidRPr="00D14254" w:rsidRDefault="00FA0E55" w:rsidP="00396A41">
      <w:pPr>
        <w:jc w:val="both"/>
      </w:pPr>
    </w:p>
    <w:p w:rsidR="00396A41" w:rsidRDefault="00396A41" w:rsidP="00396A41">
      <w:pPr>
        <w:jc w:val="both"/>
      </w:pPr>
      <w:r w:rsidRPr="00D14254">
        <w:t xml:space="preserve">Additional, the estimated result indicates that the coefficient of household size was positive and statistically significant at 5% level. The estimated value of the coefficient indicates that a one unit increase in the household size will lead to increase in the log odd of household livelihood improvement by about 0.076 units all things being equal. This is in line with a priori expectation because, after enjoying a non interest facilities, in most cases the clients use some of their family members as a source of free labour supply for their business, this save the labour cost, increases the earning and savings consequently leading to livelihood improvement. This also conforms to the findings of ,,, In the same vein, the estimated odd ratio of this coefficient was found to be statistically significant at 5%. Based on the estimated value of the odd ratio, a one unit increase in the size of the household leads to increase in the odd of household livelihood </w:t>
      </w:r>
      <w:r w:rsidRPr="00D14254">
        <w:lastRenderedPageBreak/>
        <w:t xml:space="preserve">improvement by about 1.079 times higher, this is in line with the a priori expectation. Similarly, the estimated coefficient of income was found to be positive and statistically significant at 10% level. The result indicates that increase in income of the clients by ₦1000 leads to increase in the log odd of the household’s livelihood improvement by about 0.008 units all things being equal. This is in line with a priori expectation because when income increases under normal circumstances part of it is usually goes to saving this is also in line with the theory of absolute income hypothesis.  </w:t>
      </w:r>
    </w:p>
    <w:p w:rsidR="00FA0E55" w:rsidRPr="00D14254" w:rsidRDefault="00FA0E55" w:rsidP="00396A41">
      <w:pPr>
        <w:jc w:val="both"/>
      </w:pPr>
    </w:p>
    <w:p w:rsidR="00396A41" w:rsidRDefault="00396A41" w:rsidP="00396A41">
      <w:pPr>
        <w:jc w:val="both"/>
      </w:pPr>
      <w:r w:rsidRPr="00D14254">
        <w:t>Moreover, the coefficients of account type maintain by the clients of non interest financial services were found to be positive and have significant impact on the household livelihood. Based on the estimated result, the clients that operate savings account with the non interest financial service providers tend to have higher log odd of household livelihood improvement by about 0.786 units compared to those that operate current accounts. In the same vein, the odd ratio for household livelihood improvement for the clients that maintain savings account is 2.195 times higher than those operate current account with the non interest financial service providers. Both the odd ratio and the coefficient of this category were found to be statistically significant at 1% level. Also, the households that maintain Mudarabah Account with the non interest financial service providers have higher log odd of livelihood improvement by about 1.8 units compared to those who maintain current account all things being equal. So also, the estimated odd ratio of this coefficient was found to be statistically significant at 10% level. The estimated value of the odd ratio indicates that the clients of non interest financial services that maintain Mudarabah account experience increase in the odd ratio of household livelihood improvement by about 6. 07times higher compared to those that maintain current account.</w:t>
      </w:r>
    </w:p>
    <w:p w:rsidR="00FA0E55" w:rsidRPr="00D14254" w:rsidRDefault="00FA0E55" w:rsidP="00396A41">
      <w:pPr>
        <w:jc w:val="both"/>
      </w:pPr>
    </w:p>
    <w:p w:rsidR="00396A41" w:rsidRPr="00D14254" w:rsidRDefault="00396A41" w:rsidP="00396A41">
      <w:pPr>
        <w:jc w:val="both"/>
      </w:pPr>
      <w:r w:rsidRPr="00D14254">
        <w:t xml:space="preserve">Lastly, membership in one or more of the various cooperative societies was found to be positive and statistically significant at 1% level. The result indicates that the clients of non interest financial services that are members in a cooperative society have higher log odd of livelihood improvement through the change in savings by about 1.557 units than other wise. This is in line with the a priori expectation due to the fact that those clients that have membership in a cooperative society enjoy many privileges when dealing with the non interest financial service providers which have more impacts on their livelihood than those who do not have membership in any cooperative society. This is in line with a priori expectation and also conforms with the findings of …Furthermore, the value of the estimated odd ratio of this coefficient was also found to be positive and statistically significant at 1% level. Based on the estimated result, the clients that have membership in a cooperative society enjoy more livelihood improvement through improve in savings with the odd ratio which has value of 4.74 times higher than those clints with no membership of any cooperative society.    </w:t>
      </w:r>
    </w:p>
    <w:p w:rsidR="00396A41" w:rsidRPr="00D14254" w:rsidRDefault="00396A41" w:rsidP="00396A41">
      <w:pPr>
        <w:jc w:val="both"/>
      </w:pPr>
      <w:r w:rsidRPr="00D14254">
        <w:t xml:space="preserve">     </w:t>
      </w:r>
    </w:p>
    <w:p w:rsidR="00396A41" w:rsidRPr="000E432E" w:rsidRDefault="00396A41" w:rsidP="000E432E">
      <w:pPr>
        <w:pStyle w:val="ListParagraph"/>
        <w:numPr>
          <w:ilvl w:val="0"/>
          <w:numId w:val="5"/>
        </w:numPr>
        <w:rPr>
          <w:b/>
          <w:bCs/>
          <w:lang w:val="en-GB"/>
        </w:rPr>
      </w:pPr>
      <w:r w:rsidRPr="000E432E">
        <w:rPr>
          <w:b/>
          <w:bCs/>
          <w:lang w:val="en-GB"/>
        </w:rPr>
        <w:t>Conclusion</w:t>
      </w:r>
    </w:p>
    <w:p w:rsidR="00396A41" w:rsidRPr="00D14254" w:rsidRDefault="00396A41" w:rsidP="00396A41">
      <w:pPr>
        <w:autoSpaceDE w:val="0"/>
        <w:autoSpaceDN w:val="0"/>
        <w:adjustRightInd w:val="0"/>
        <w:jc w:val="both"/>
      </w:pPr>
      <w:r w:rsidRPr="00D14254">
        <w:t xml:space="preserve">This paper conducted an empirical analysis of the impact of non interest financial inclusion and services on the household livelihood in the Nortwest Nigeria. The paper empirically analyses two dimensions that reflect improvement in the household livelihood namely; change in the household income and savings. The estimated model of household change in income indicates that the larger the size of the household the higher would be the impact of non interest financial inclusion and services on the livelihood of the client household. Also, households that are headed by male gender tend to experience more impact of such services on the livelihood than otherwise. In the same vein, it was found that current facility amount, number of assets owned before and having membership in at least one cooperative society. On the other hand, based on the estimated model for household change in savings, it was found that size of the household has a positive impact on the change in savings and that the higher the level of income, the more livelihood improvement due to change in savings. This is in line with the axiom of absolute income hypothesis. Also, it was empirically established that the clients that have at least one membership in a cooperative society tend to experience improvement in livelihood than otherwise.   </w:t>
      </w:r>
    </w:p>
    <w:p w:rsidR="00396A41" w:rsidRPr="00D14254" w:rsidRDefault="00396A41" w:rsidP="00396A41">
      <w:pPr>
        <w:autoSpaceDE w:val="0"/>
        <w:autoSpaceDN w:val="0"/>
        <w:adjustRightInd w:val="0"/>
        <w:jc w:val="both"/>
      </w:pPr>
    </w:p>
    <w:p w:rsidR="00396A41" w:rsidRPr="00D14254" w:rsidRDefault="00396A41" w:rsidP="000E432E">
      <w:pPr>
        <w:pStyle w:val="ListParagraph"/>
        <w:numPr>
          <w:ilvl w:val="0"/>
          <w:numId w:val="5"/>
        </w:numPr>
        <w:spacing w:after="0"/>
        <w:rPr>
          <w:rFonts w:ascii="Times New Roman" w:hAnsi="Times New Roman" w:cs="Times New Roman"/>
          <w:b/>
          <w:bCs/>
          <w:sz w:val="20"/>
          <w:szCs w:val="20"/>
          <w:lang w:val="en-GB"/>
        </w:rPr>
      </w:pPr>
      <w:r w:rsidRPr="00D14254">
        <w:rPr>
          <w:rFonts w:ascii="Times New Roman" w:hAnsi="Times New Roman" w:cs="Times New Roman"/>
          <w:b/>
          <w:bCs/>
          <w:sz w:val="20"/>
          <w:szCs w:val="20"/>
          <w:lang w:val="en-GB"/>
        </w:rPr>
        <w:t>Recommendations</w:t>
      </w:r>
    </w:p>
    <w:p w:rsidR="00396A41" w:rsidRPr="00D14254" w:rsidRDefault="00396A41" w:rsidP="00396A41">
      <w:pPr>
        <w:jc w:val="both"/>
      </w:pPr>
      <w:r w:rsidRPr="00D14254">
        <w:t>Based on the findings of the study, the following practices were recommended:</w:t>
      </w:r>
    </w:p>
    <w:p w:rsidR="00396A41" w:rsidRPr="00D14254" w:rsidRDefault="00396A41" w:rsidP="00396A41">
      <w:pPr>
        <w:jc w:val="both"/>
      </w:pPr>
      <w:r w:rsidRPr="00D14254">
        <w:t>Instructive from the findings is the fact that measures aimed at easing access and cost of non-interest financing, especially for large families could induce positive impact on livelihood.</w:t>
      </w:r>
    </w:p>
    <w:p w:rsidR="00396A41" w:rsidRPr="00D14254" w:rsidRDefault="00396A41" w:rsidP="00396A41">
      <w:pPr>
        <w:jc w:val="both"/>
      </w:pPr>
      <w:r w:rsidRPr="00D14254">
        <w:t xml:space="preserve">Reducing gender imbalance in access to Islamic financial services is capable of improving household consumption cum livelihood. </w:t>
      </w:r>
    </w:p>
    <w:p w:rsidR="00396A41" w:rsidRPr="00D14254" w:rsidRDefault="00396A41" w:rsidP="00396A41">
      <w:pPr>
        <w:jc w:val="both"/>
      </w:pPr>
      <w:r w:rsidRPr="00D14254">
        <w:t>Islamic banks should also consider household enterprises with more years of business experience in their dealings.</w:t>
      </w:r>
    </w:p>
    <w:p w:rsidR="00396A41" w:rsidRPr="00D14254" w:rsidRDefault="00396A41" w:rsidP="00396A41">
      <w:pPr>
        <w:rPr>
          <w:rFonts w:eastAsia="Times"/>
          <w:bCs/>
        </w:rPr>
      </w:pPr>
      <w:r w:rsidRPr="00D14254">
        <w:t>Furthermore, there is a need to encourage the clients to subscribe or form some cooperative societies as this will make non interest financial services to have more impacts on the livelihood of the clients. Through cooperative societies, the clients are in a better position to bagain more and thereby getting more from the non interest financial services. Lastly, the client should stick more to savings and mudarabah accounts than current account as these accounts have more impact on the livelihood of the clients.</w:t>
      </w:r>
    </w:p>
    <w:p w:rsidR="00396A41" w:rsidRDefault="00396A41" w:rsidP="00B17912">
      <w:pPr>
        <w:rPr>
          <w:rFonts w:eastAsia="Times"/>
          <w:bCs/>
        </w:rPr>
      </w:pPr>
    </w:p>
    <w:p w:rsidR="00A21FFF" w:rsidRDefault="00A21FFF" w:rsidP="00B17912">
      <w:pPr>
        <w:rPr>
          <w:rFonts w:eastAsia="Times"/>
          <w:bCs/>
        </w:rPr>
      </w:pPr>
    </w:p>
    <w:p w:rsidR="00FA0E55" w:rsidRPr="00FA0E55" w:rsidRDefault="00FA0E55" w:rsidP="00A21FFF">
      <w:pPr>
        <w:pStyle w:val="NoSpacing"/>
        <w:ind w:left="567" w:hanging="567"/>
        <w:jc w:val="both"/>
        <w:rPr>
          <w:rFonts w:ascii="Times New Roman" w:hAnsi="Times New Roman" w:cs="Times New Roman"/>
          <w:b/>
          <w:sz w:val="20"/>
          <w:szCs w:val="20"/>
        </w:rPr>
      </w:pPr>
      <w:r w:rsidRPr="00FA0E55">
        <w:rPr>
          <w:rFonts w:ascii="Times New Roman" w:hAnsi="Times New Roman" w:cs="Times New Roman"/>
          <w:b/>
          <w:sz w:val="20"/>
          <w:szCs w:val="20"/>
        </w:rPr>
        <w:lastRenderedPageBreak/>
        <w:t>References</w:t>
      </w:r>
    </w:p>
    <w:p w:rsidR="00A21FFF" w:rsidRPr="00A21FFF" w:rsidRDefault="00C05439" w:rsidP="00A21FFF">
      <w:pPr>
        <w:pStyle w:val="NoSpacing"/>
        <w:ind w:left="567" w:hanging="567"/>
        <w:jc w:val="both"/>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rPr>
        <w:tab/>
      </w:r>
      <w:r w:rsidR="00A21FFF" w:rsidRPr="00A21FFF">
        <w:rPr>
          <w:rFonts w:ascii="Times New Roman" w:hAnsi="Times New Roman" w:cs="Times New Roman"/>
          <w:sz w:val="20"/>
          <w:szCs w:val="20"/>
        </w:rPr>
        <w:t>Ahmed, H. (2001). Financing Microenterprises: An Analytical Study of Islamic Microfinance Institutions, Paper presented at the 9</w:t>
      </w:r>
      <w:r w:rsidR="00A21FFF" w:rsidRPr="00A21FFF">
        <w:rPr>
          <w:rFonts w:ascii="Times New Roman" w:hAnsi="Times New Roman" w:cs="Times New Roman"/>
          <w:sz w:val="20"/>
          <w:szCs w:val="20"/>
          <w:vertAlign w:val="superscript"/>
        </w:rPr>
        <w:t>th</w:t>
      </w:r>
      <w:r w:rsidR="00A21FFF" w:rsidRPr="00A21FFF">
        <w:rPr>
          <w:rFonts w:ascii="Times New Roman" w:hAnsi="Times New Roman" w:cs="Times New Roman"/>
          <w:sz w:val="20"/>
          <w:szCs w:val="20"/>
        </w:rPr>
        <w:t xml:space="preserve"> Intensive Orientation </w:t>
      </w:r>
      <w:r w:rsidR="00A21FFF" w:rsidRPr="00A21FFF">
        <w:rPr>
          <w:rFonts w:ascii="Times New Roman" w:hAnsi="Times New Roman" w:cs="Times New Roman"/>
          <w:i/>
          <w:sz w:val="20"/>
          <w:szCs w:val="20"/>
        </w:rPr>
        <w:t>Seminar</w:t>
      </w:r>
      <w:r w:rsidR="00A21FFF" w:rsidRPr="00A21FFF">
        <w:rPr>
          <w:rFonts w:ascii="Times New Roman" w:hAnsi="Times New Roman" w:cs="Times New Roman"/>
          <w:sz w:val="20"/>
          <w:szCs w:val="20"/>
        </w:rPr>
        <w:t xml:space="preserve"> organized by Islamic Foundation, Leicester, UK.</w:t>
      </w:r>
    </w:p>
    <w:p w:rsidR="00A21FFF" w:rsidRPr="00A21FFF" w:rsidRDefault="00C05439" w:rsidP="00A21FFF">
      <w:pPr>
        <w:pStyle w:val="NoSpacing"/>
        <w:ind w:left="567" w:hanging="567"/>
        <w:jc w:val="both"/>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rPr>
        <w:tab/>
      </w:r>
      <w:r w:rsidR="00A21FFF" w:rsidRPr="00A21FFF">
        <w:rPr>
          <w:rFonts w:ascii="Times New Roman" w:hAnsi="Times New Roman" w:cs="Times New Roman"/>
          <w:sz w:val="20"/>
          <w:szCs w:val="20"/>
        </w:rPr>
        <w:t xml:space="preserve">Ahmed, H., M. </w:t>
      </w:r>
      <w:proofErr w:type="spellStart"/>
      <w:r w:rsidR="00A21FFF" w:rsidRPr="00A21FFF">
        <w:rPr>
          <w:rFonts w:ascii="Times New Roman" w:hAnsi="Times New Roman" w:cs="Times New Roman"/>
          <w:sz w:val="20"/>
          <w:szCs w:val="20"/>
        </w:rPr>
        <w:t>Mohieldin</w:t>
      </w:r>
      <w:proofErr w:type="spellEnd"/>
      <w:r w:rsidR="00A21FFF" w:rsidRPr="00A21FFF">
        <w:rPr>
          <w:rFonts w:ascii="Times New Roman" w:hAnsi="Times New Roman" w:cs="Times New Roman"/>
          <w:sz w:val="20"/>
          <w:szCs w:val="20"/>
        </w:rPr>
        <w:t xml:space="preserve">, </w:t>
      </w:r>
      <w:proofErr w:type="spellStart"/>
      <w:r w:rsidR="00A21FFF" w:rsidRPr="00A21FFF">
        <w:rPr>
          <w:rFonts w:ascii="Times New Roman" w:hAnsi="Times New Roman" w:cs="Times New Roman"/>
          <w:sz w:val="20"/>
          <w:szCs w:val="20"/>
        </w:rPr>
        <w:t>J.</w:t>
      </w:r>
      <w:proofErr w:type="gramStart"/>
      <w:r w:rsidR="00A21FFF" w:rsidRPr="00A21FFF">
        <w:rPr>
          <w:rFonts w:ascii="Times New Roman" w:hAnsi="Times New Roman" w:cs="Times New Roman"/>
          <w:sz w:val="20"/>
          <w:szCs w:val="20"/>
        </w:rPr>
        <w:t>,Verbeek</w:t>
      </w:r>
      <w:proofErr w:type="spellEnd"/>
      <w:proofErr w:type="gramEnd"/>
      <w:r w:rsidR="00A21FFF" w:rsidRPr="00A21FFF">
        <w:rPr>
          <w:rFonts w:ascii="Times New Roman" w:hAnsi="Times New Roman" w:cs="Times New Roman"/>
          <w:sz w:val="20"/>
          <w:szCs w:val="20"/>
        </w:rPr>
        <w:t xml:space="preserve"> and F. </w:t>
      </w:r>
      <w:proofErr w:type="spellStart"/>
      <w:r w:rsidR="00A21FFF" w:rsidRPr="00A21FFF">
        <w:rPr>
          <w:rFonts w:ascii="Times New Roman" w:hAnsi="Times New Roman" w:cs="Times New Roman"/>
          <w:sz w:val="20"/>
          <w:szCs w:val="20"/>
        </w:rPr>
        <w:t>Aboulmagd</w:t>
      </w:r>
      <w:proofErr w:type="spellEnd"/>
      <w:r w:rsidR="00A21FFF" w:rsidRPr="00A21FFF">
        <w:rPr>
          <w:rFonts w:ascii="Times New Roman" w:hAnsi="Times New Roman" w:cs="Times New Roman"/>
          <w:sz w:val="20"/>
          <w:szCs w:val="20"/>
        </w:rPr>
        <w:t xml:space="preserve"> (2015). On the Sustainable Development Goals and the Role of Islamic Finance, World Bank Policy Research Working Paper, 7266, May.</w:t>
      </w:r>
    </w:p>
    <w:p w:rsidR="00A21FFF" w:rsidRPr="00A21FFF" w:rsidRDefault="00C05439" w:rsidP="00A21FFF">
      <w:pPr>
        <w:pStyle w:val="NoSpacing"/>
        <w:ind w:left="567" w:hanging="567"/>
        <w:jc w:val="both"/>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rPr>
        <w:tab/>
      </w:r>
      <w:r w:rsidR="00A21FFF" w:rsidRPr="00A21FFF">
        <w:rPr>
          <w:rFonts w:ascii="Times New Roman" w:hAnsi="Times New Roman" w:cs="Times New Roman"/>
          <w:sz w:val="20"/>
          <w:szCs w:val="20"/>
        </w:rPr>
        <w:t xml:space="preserve">Akhtar, M.R. (1998). Islamic Microfinance: Credit where Credit is really Due, </w:t>
      </w:r>
      <w:r w:rsidR="00A21FFF" w:rsidRPr="00A21FFF">
        <w:rPr>
          <w:rFonts w:ascii="Times New Roman" w:hAnsi="Times New Roman" w:cs="Times New Roman"/>
          <w:i/>
          <w:sz w:val="20"/>
          <w:szCs w:val="20"/>
        </w:rPr>
        <w:t xml:space="preserve">Islamic Banker, </w:t>
      </w:r>
      <w:r w:rsidR="00A21FFF" w:rsidRPr="00A21FFF">
        <w:rPr>
          <w:rFonts w:ascii="Times New Roman" w:hAnsi="Times New Roman" w:cs="Times New Roman"/>
          <w:sz w:val="20"/>
          <w:szCs w:val="20"/>
        </w:rPr>
        <w:t>pp. 8-9.</w:t>
      </w:r>
    </w:p>
    <w:p w:rsidR="00A21FFF" w:rsidRPr="00A21FFF" w:rsidRDefault="00C05439" w:rsidP="00A21FFF">
      <w:pPr>
        <w:pStyle w:val="NoSpacing"/>
        <w:ind w:left="567" w:hanging="567"/>
        <w:jc w:val="both"/>
        <w:rPr>
          <w:rFonts w:ascii="Times New Roman" w:hAnsi="Times New Roman" w:cs="Times New Roman"/>
          <w:sz w:val="20"/>
          <w:szCs w:val="20"/>
        </w:rPr>
      </w:pPr>
      <w:r>
        <w:rPr>
          <w:rFonts w:ascii="Times New Roman" w:hAnsi="Times New Roman" w:cs="Times New Roman"/>
          <w:sz w:val="20"/>
          <w:szCs w:val="20"/>
        </w:rPr>
        <w:t>[4]</w:t>
      </w:r>
      <w:r>
        <w:rPr>
          <w:rFonts w:ascii="Times New Roman" w:hAnsi="Times New Roman" w:cs="Times New Roman"/>
          <w:sz w:val="20"/>
          <w:szCs w:val="20"/>
        </w:rPr>
        <w:tab/>
      </w:r>
      <w:r w:rsidR="00A21FFF" w:rsidRPr="00A21FFF">
        <w:rPr>
          <w:rFonts w:ascii="Times New Roman" w:hAnsi="Times New Roman" w:cs="Times New Roman"/>
          <w:sz w:val="20"/>
          <w:szCs w:val="20"/>
        </w:rPr>
        <w:t xml:space="preserve">Al-Harran, S.A.S (1999). Islamic Partnership Financing, </w:t>
      </w:r>
      <w:r w:rsidR="00A21FFF" w:rsidRPr="00A21FFF">
        <w:rPr>
          <w:rFonts w:ascii="Times New Roman" w:hAnsi="Times New Roman" w:cs="Times New Roman"/>
          <w:i/>
          <w:sz w:val="20"/>
          <w:szCs w:val="20"/>
        </w:rPr>
        <w:t>Arab Law Quarterly, 14</w:t>
      </w:r>
      <w:r w:rsidR="00A21FFF" w:rsidRPr="00A21FFF">
        <w:rPr>
          <w:rFonts w:ascii="Times New Roman" w:hAnsi="Times New Roman" w:cs="Times New Roman"/>
          <w:sz w:val="20"/>
          <w:szCs w:val="20"/>
        </w:rPr>
        <w:t>(3), 193-202.</w:t>
      </w:r>
    </w:p>
    <w:p w:rsidR="00A21FFF" w:rsidRPr="00A21FFF" w:rsidRDefault="00C05439" w:rsidP="00A21FFF">
      <w:pPr>
        <w:pStyle w:val="NoSpacing"/>
        <w:ind w:left="567" w:hanging="567"/>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ab/>
      </w:r>
      <w:r w:rsidR="00A21FFF" w:rsidRPr="00A21FFF">
        <w:rPr>
          <w:rFonts w:ascii="Times New Roman" w:hAnsi="Times New Roman" w:cs="Times New Roman"/>
          <w:sz w:val="20"/>
          <w:szCs w:val="20"/>
        </w:rPr>
        <w:t xml:space="preserve">Amin, S., Rai, A.S., &amp; </w:t>
      </w:r>
      <w:proofErr w:type="spellStart"/>
      <w:r w:rsidR="00A21FFF" w:rsidRPr="00A21FFF">
        <w:rPr>
          <w:rFonts w:ascii="Times New Roman" w:hAnsi="Times New Roman" w:cs="Times New Roman"/>
          <w:sz w:val="20"/>
          <w:szCs w:val="20"/>
        </w:rPr>
        <w:t>Ropa</w:t>
      </w:r>
      <w:proofErr w:type="spellEnd"/>
      <w:r w:rsidR="00A21FFF" w:rsidRPr="00A21FFF">
        <w:rPr>
          <w:rFonts w:ascii="Times New Roman" w:hAnsi="Times New Roman" w:cs="Times New Roman"/>
          <w:sz w:val="20"/>
          <w:szCs w:val="20"/>
        </w:rPr>
        <w:t xml:space="preserve">, G. (2003).Does Microcredit Reach the Poor and Vulnerable? Evidence from Northern Bangladesh, </w:t>
      </w:r>
      <w:r w:rsidR="00A21FFF" w:rsidRPr="00A21FFF">
        <w:rPr>
          <w:rFonts w:ascii="Times New Roman" w:hAnsi="Times New Roman" w:cs="Times New Roman"/>
          <w:i/>
          <w:sz w:val="20"/>
          <w:szCs w:val="20"/>
        </w:rPr>
        <w:t>Journal of Development Economics,</w:t>
      </w:r>
      <w:r w:rsidR="00A21FFF" w:rsidRPr="00A21FFF">
        <w:rPr>
          <w:rFonts w:ascii="Times New Roman" w:hAnsi="Times New Roman" w:cs="Times New Roman"/>
          <w:sz w:val="20"/>
          <w:szCs w:val="20"/>
        </w:rPr>
        <w:t xml:space="preserve"> 70, 59-82.</w:t>
      </w:r>
    </w:p>
    <w:p w:rsidR="00A21FFF" w:rsidRPr="00A21FFF" w:rsidRDefault="00C05439" w:rsidP="00A21FFF">
      <w:pPr>
        <w:pStyle w:val="NoSpacing"/>
        <w:ind w:left="567" w:hanging="567"/>
        <w:jc w:val="both"/>
        <w:rPr>
          <w:rFonts w:ascii="Times New Roman" w:hAnsi="Times New Roman" w:cs="Times New Roman"/>
          <w:sz w:val="20"/>
          <w:szCs w:val="20"/>
        </w:rPr>
      </w:pPr>
      <w:r>
        <w:rPr>
          <w:rFonts w:ascii="Times New Roman" w:hAnsi="Times New Roman" w:cs="Times New Roman"/>
          <w:sz w:val="20"/>
          <w:szCs w:val="20"/>
        </w:rPr>
        <w:t>[6]</w:t>
      </w:r>
      <w:r>
        <w:rPr>
          <w:rFonts w:ascii="Times New Roman" w:hAnsi="Times New Roman" w:cs="Times New Roman"/>
          <w:sz w:val="20"/>
          <w:szCs w:val="20"/>
        </w:rPr>
        <w:tab/>
      </w:r>
      <w:r w:rsidR="00A21FFF" w:rsidRPr="00A21FFF">
        <w:rPr>
          <w:rFonts w:ascii="Times New Roman" w:hAnsi="Times New Roman" w:cs="Times New Roman"/>
          <w:sz w:val="20"/>
          <w:szCs w:val="20"/>
        </w:rPr>
        <w:t xml:space="preserve">Bangladesh Institute of Development Studies. </w:t>
      </w:r>
      <w:proofErr w:type="gramStart"/>
      <w:r w:rsidR="00A21FFF" w:rsidRPr="00A21FFF">
        <w:rPr>
          <w:rFonts w:ascii="Times New Roman" w:hAnsi="Times New Roman" w:cs="Times New Roman"/>
          <w:sz w:val="20"/>
          <w:szCs w:val="20"/>
        </w:rPr>
        <w:t>(2001, October).</w:t>
      </w:r>
      <w:proofErr w:type="gramEnd"/>
      <w:r w:rsidR="00A21FFF" w:rsidRPr="00A21FFF">
        <w:rPr>
          <w:rFonts w:ascii="Times New Roman" w:hAnsi="Times New Roman" w:cs="Times New Roman"/>
          <w:sz w:val="20"/>
          <w:szCs w:val="20"/>
        </w:rPr>
        <w:t xml:space="preserve"> </w:t>
      </w:r>
      <w:proofErr w:type="gramStart"/>
      <w:r w:rsidR="00A21FFF" w:rsidRPr="00A21FFF">
        <w:rPr>
          <w:rFonts w:ascii="Times New Roman" w:hAnsi="Times New Roman" w:cs="Times New Roman"/>
          <w:sz w:val="20"/>
          <w:szCs w:val="20"/>
        </w:rPr>
        <w:t>Final Report on BIDS Study on PKSF’s Monitoring and Evaluation System (MES) Dhaka.</w:t>
      </w:r>
      <w:proofErr w:type="gramEnd"/>
    </w:p>
    <w:p w:rsidR="00A21FFF" w:rsidRPr="00A21FFF" w:rsidRDefault="00C05439" w:rsidP="00A21FFF">
      <w:pPr>
        <w:pStyle w:val="NoSpacing"/>
        <w:ind w:left="567" w:hanging="567"/>
        <w:jc w:val="both"/>
        <w:rPr>
          <w:rFonts w:ascii="Times New Roman" w:hAnsi="Times New Roman" w:cs="Times New Roman"/>
          <w:bCs/>
          <w:sz w:val="20"/>
          <w:szCs w:val="20"/>
        </w:rPr>
      </w:pPr>
      <w:r>
        <w:rPr>
          <w:rFonts w:ascii="Times New Roman" w:hAnsi="Times New Roman" w:cs="Times New Roman"/>
          <w:bCs/>
          <w:sz w:val="20"/>
          <w:szCs w:val="20"/>
        </w:rPr>
        <w:t>[7]</w:t>
      </w:r>
      <w:r>
        <w:rPr>
          <w:rFonts w:ascii="Times New Roman" w:hAnsi="Times New Roman" w:cs="Times New Roman"/>
          <w:bCs/>
          <w:sz w:val="20"/>
          <w:szCs w:val="20"/>
        </w:rPr>
        <w:tab/>
      </w:r>
      <w:r w:rsidR="00A21FFF" w:rsidRPr="00A21FFF">
        <w:rPr>
          <w:rFonts w:ascii="Times New Roman" w:hAnsi="Times New Roman" w:cs="Times New Roman"/>
          <w:bCs/>
          <w:sz w:val="20"/>
          <w:szCs w:val="20"/>
        </w:rPr>
        <w:t xml:space="preserve">Bashir, R., &amp; </w:t>
      </w:r>
      <w:proofErr w:type="spellStart"/>
      <w:r w:rsidR="00A21FFF" w:rsidRPr="00A21FFF">
        <w:rPr>
          <w:rFonts w:ascii="Times New Roman" w:hAnsi="Times New Roman" w:cs="Times New Roman"/>
          <w:sz w:val="20"/>
          <w:szCs w:val="20"/>
        </w:rPr>
        <w:t>Danlami</w:t>
      </w:r>
      <w:proofErr w:type="spellEnd"/>
      <w:r w:rsidR="00A21FFF" w:rsidRPr="00A21FFF">
        <w:rPr>
          <w:rFonts w:ascii="Times New Roman" w:hAnsi="Times New Roman" w:cs="Times New Roman"/>
          <w:sz w:val="20"/>
          <w:szCs w:val="20"/>
        </w:rPr>
        <w:t xml:space="preserve">, A.H. (2022).Gender and loan accessibility among entrepreneurs: empirical evidence from women entrepreneurs in Kano Metropolis. </w:t>
      </w:r>
      <w:r w:rsidR="00A21FFF" w:rsidRPr="00A21FFF">
        <w:rPr>
          <w:rFonts w:ascii="Times New Roman" w:hAnsi="Times New Roman" w:cs="Times New Roman"/>
          <w:bCs/>
          <w:i/>
          <w:sz w:val="20"/>
          <w:szCs w:val="20"/>
        </w:rPr>
        <w:t>European Journal of Government and Economics, 11</w:t>
      </w:r>
      <w:r w:rsidR="00A21FFF" w:rsidRPr="00A21FFF">
        <w:rPr>
          <w:rFonts w:ascii="Times New Roman" w:hAnsi="Times New Roman" w:cs="Times New Roman"/>
          <w:bCs/>
          <w:sz w:val="20"/>
          <w:szCs w:val="20"/>
        </w:rPr>
        <w:t>(1), 97–112.</w:t>
      </w:r>
    </w:p>
    <w:p w:rsidR="00A21FFF" w:rsidRPr="00A21FFF" w:rsidRDefault="00C05439" w:rsidP="00A21FFF">
      <w:pPr>
        <w:pStyle w:val="NoSpacing"/>
        <w:ind w:left="567" w:hanging="567"/>
        <w:jc w:val="both"/>
        <w:rPr>
          <w:rFonts w:ascii="Times New Roman" w:hAnsi="Times New Roman" w:cs="Times New Roman"/>
          <w:sz w:val="20"/>
          <w:szCs w:val="20"/>
        </w:rPr>
      </w:pPr>
      <w:r>
        <w:rPr>
          <w:rFonts w:ascii="Times New Roman" w:hAnsi="Times New Roman" w:cs="Times New Roman"/>
          <w:sz w:val="20"/>
          <w:szCs w:val="20"/>
        </w:rPr>
        <w:t>[8]</w:t>
      </w:r>
      <w:r>
        <w:rPr>
          <w:rFonts w:ascii="Times New Roman" w:hAnsi="Times New Roman" w:cs="Times New Roman"/>
          <w:sz w:val="20"/>
          <w:szCs w:val="20"/>
        </w:rPr>
        <w:tab/>
      </w:r>
      <w:proofErr w:type="spellStart"/>
      <w:r w:rsidR="00A21FFF" w:rsidRPr="00A21FFF">
        <w:rPr>
          <w:rFonts w:ascii="Times New Roman" w:hAnsi="Times New Roman" w:cs="Times New Roman"/>
          <w:sz w:val="20"/>
          <w:szCs w:val="20"/>
        </w:rPr>
        <w:t>Bhuiyan</w:t>
      </w:r>
      <w:proofErr w:type="spellEnd"/>
      <w:r w:rsidR="00A21FFF" w:rsidRPr="00A21FFF">
        <w:rPr>
          <w:rFonts w:ascii="Times New Roman" w:hAnsi="Times New Roman" w:cs="Times New Roman"/>
          <w:sz w:val="20"/>
          <w:szCs w:val="20"/>
        </w:rPr>
        <w:t xml:space="preserve">, A., </w:t>
      </w:r>
      <w:proofErr w:type="spellStart"/>
      <w:r w:rsidR="00A21FFF" w:rsidRPr="00A21FFF">
        <w:rPr>
          <w:rFonts w:ascii="Times New Roman" w:hAnsi="Times New Roman" w:cs="Times New Roman"/>
          <w:sz w:val="20"/>
          <w:szCs w:val="20"/>
        </w:rPr>
        <w:t>Siwar</w:t>
      </w:r>
      <w:proofErr w:type="spellEnd"/>
      <w:r w:rsidR="00A21FFF" w:rsidRPr="00A21FFF">
        <w:rPr>
          <w:rFonts w:ascii="Times New Roman" w:hAnsi="Times New Roman" w:cs="Times New Roman"/>
          <w:sz w:val="20"/>
          <w:szCs w:val="20"/>
        </w:rPr>
        <w:t xml:space="preserve">, C., Ismail, A., </w:t>
      </w:r>
      <w:proofErr w:type="spellStart"/>
      <w:r w:rsidR="00A21FFF" w:rsidRPr="00A21FFF">
        <w:rPr>
          <w:rFonts w:ascii="Times New Roman" w:hAnsi="Times New Roman" w:cs="Times New Roman"/>
          <w:sz w:val="20"/>
          <w:szCs w:val="20"/>
        </w:rPr>
        <w:t>Talib</w:t>
      </w:r>
      <w:proofErr w:type="spellEnd"/>
      <w:r w:rsidR="00A21FFF" w:rsidRPr="00A21FFF">
        <w:rPr>
          <w:rFonts w:ascii="Times New Roman" w:hAnsi="Times New Roman" w:cs="Times New Roman"/>
          <w:sz w:val="20"/>
          <w:szCs w:val="20"/>
        </w:rPr>
        <w:t xml:space="preserve">, B.A., &amp; Said, J. (2015). The Effects of Islamic Microfinancing on the Sustainable Livelihood of the Borrowers: Uses of Multiple Logistic Regression Model in Bangladesh. Paper presented at the </w:t>
      </w:r>
      <w:r w:rsidR="00A21FFF" w:rsidRPr="00A21FFF">
        <w:rPr>
          <w:rFonts w:ascii="Times New Roman" w:hAnsi="Times New Roman" w:cs="Times New Roman"/>
          <w:i/>
          <w:iCs/>
          <w:sz w:val="20"/>
          <w:szCs w:val="20"/>
        </w:rPr>
        <w:t xml:space="preserve">South western Finance Association’s (SWFA) 42nd Conference </w:t>
      </w:r>
      <w:r w:rsidR="00A21FFF" w:rsidRPr="00A21FFF">
        <w:rPr>
          <w:rFonts w:ascii="Times New Roman" w:hAnsi="Times New Roman" w:cs="Times New Roman"/>
          <w:sz w:val="20"/>
          <w:szCs w:val="20"/>
        </w:rPr>
        <w:t xml:space="preserve">held in Huston, Texas. </w:t>
      </w:r>
    </w:p>
    <w:p w:rsidR="00A21FFF" w:rsidRPr="00A21FFF" w:rsidRDefault="00C05439" w:rsidP="00A21FFF">
      <w:pPr>
        <w:pStyle w:val="NoSpacing"/>
        <w:ind w:left="567" w:hanging="567"/>
        <w:jc w:val="both"/>
        <w:rPr>
          <w:rFonts w:ascii="Times New Roman" w:hAnsi="Times New Roman" w:cs="Times New Roman"/>
          <w:sz w:val="20"/>
          <w:szCs w:val="20"/>
        </w:rPr>
      </w:pPr>
      <w:r>
        <w:rPr>
          <w:rFonts w:ascii="Times New Roman" w:hAnsi="Times New Roman" w:cs="Times New Roman"/>
          <w:sz w:val="20"/>
          <w:szCs w:val="20"/>
        </w:rPr>
        <w:t>[9]</w:t>
      </w:r>
      <w:r>
        <w:rPr>
          <w:rFonts w:ascii="Times New Roman" w:hAnsi="Times New Roman" w:cs="Times New Roman"/>
          <w:sz w:val="20"/>
          <w:szCs w:val="20"/>
        </w:rPr>
        <w:tab/>
      </w:r>
      <w:r w:rsidR="00A21FFF" w:rsidRPr="00A21FFF">
        <w:rPr>
          <w:rFonts w:ascii="Times New Roman" w:hAnsi="Times New Roman" w:cs="Times New Roman"/>
          <w:sz w:val="20"/>
          <w:szCs w:val="20"/>
        </w:rPr>
        <w:t xml:space="preserve">Bilal, A.M., </w:t>
      </w:r>
      <w:proofErr w:type="spellStart"/>
      <w:r w:rsidR="00A21FFF" w:rsidRPr="00A21FFF">
        <w:rPr>
          <w:rFonts w:ascii="Times New Roman" w:hAnsi="Times New Roman" w:cs="Times New Roman"/>
          <w:sz w:val="20"/>
          <w:szCs w:val="20"/>
        </w:rPr>
        <w:t>Brroy</w:t>
      </w:r>
      <w:proofErr w:type="spellEnd"/>
      <w:r w:rsidR="00A21FFF" w:rsidRPr="00A21FFF">
        <w:rPr>
          <w:rFonts w:ascii="Times New Roman" w:hAnsi="Times New Roman" w:cs="Times New Roman"/>
          <w:sz w:val="20"/>
          <w:szCs w:val="20"/>
        </w:rPr>
        <w:t xml:space="preserve">, A.M.I., &amp; Ibrahim, N.A. (2020). </w:t>
      </w:r>
      <w:proofErr w:type="gramStart"/>
      <w:r w:rsidR="00A21FFF" w:rsidRPr="00A21FFF">
        <w:rPr>
          <w:rFonts w:ascii="Times New Roman" w:hAnsi="Times New Roman" w:cs="Times New Roman"/>
          <w:sz w:val="20"/>
          <w:szCs w:val="20"/>
        </w:rPr>
        <w:t>The impact of micro finance on household livelihood in Red Sea State, Sudan.</w:t>
      </w:r>
      <w:proofErr w:type="gramEnd"/>
      <w:r w:rsidR="00A21FFF" w:rsidRPr="00A21FFF">
        <w:rPr>
          <w:rFonts w:ascii="Times New Roman" w:hAnsi="Times New Roman" w:cs="Times New Roman"/>
          <w:sz w:val="20"/>
          <w:szCs w:val="20"/>
        </w:rPr>
        <w:t xml:space="preserve"> </w:t>
      </w:r>
      <w:r w:rsidR="00A21FFF" w:rsidRPr="00A21FFF">
        <w:rPr>
          <w:rFonts w:ascii="Times New Roman" w:hAnsi="Times New Roman" w:cs="Times New Roman"/>
          <w:i/>
          <w:iCs/>
          <w:sz w:val="20"/>
          <w:szCs w:val="20"/>
        </w:rPr>
        <w:t>Theoretical Economic Letters, 10</w:t>
      </w:r>
      <w:r w:rsidR="00A21FFF" w:rsidRPr="00A21FFF">
        <w:rPr>
          <w:rFonts w:ascii="Times New Roman" w:hAnsi="Times New Roman" w:cs="Times New Roman"/>
          <w:sz w:val="20"/>
          <w:szCs w:val="20"/>
        </w:rPr>
        <w:t>(2020), 281–291.</w:t>
      </w:r>
    </w:p>
    <w:p w:rsidR="00A21FFF" w:rsidRPr="00A21FFF" w:rsidRDefault="00C05439" w:rsidP="00A21FFF">
      <w:pPr>
        <w:pStyle w:val="NoSpacing"/>
        <w:ind w:left="567" w:hanging="567"/>
        <w:jc w:val="both"/>
        <w:rPr>
          <w:rFonts w:ascii="Times New Roman" w:hAnsi="Times New Roman" w:cs="Times New Roman"/>
          <w:bCs/>
          <w:sz w:val="20"/>
          <w:szCs w:val="20"/>
        </w:rPr>
      </w:pPr>
      <w:r>
        <w:rPr>
          <w:rFonts w:ascii="Times New Roman" w:hAnsi="Times New Roman" w:cs="Times New Roman"/>
          <w:bCs/>
          <w:sz w:val="20"/>
          <w:szCs w:val="20"/>
        </w:rPr>
        <w:t>[10]</w:t>
      </w:r>
      <w:r>
        <w:rPr>
          <w:rFonts w:ascii="Times New Roman" w:hAnsi="Times New Roman" w:cs="Times New Roman"/>
          <w:bCs/>
          <w:sz w:val="20"/>
          <w:szCs w:val="20"/>
        </w:rPr>
        <w:tab/>
      </w:r>
      <w:proofErr w:type="spellStart"/>
      <w:r w:rsidR="00A21FFF" w:rsidRPr="00A21FFF">
        <w:rPr>
          <w:rFonts w:ascii="Times New Roman" w:hAnsi="Times New Roman" w:cs="Times New Roman"/>
          <w:bCs/>
          <w:sz w:val="20"/>
          <w:szCs w:val="20"/>
        </w:rPr>
        <w:t>Danlami</w:t>
      </w:r>
      <w:proofErr w:type="spellEnd"/>
      <w:r w:rsidR="00A21FFF" w:rsidRPr="00A21FFF">
        <w:rPr>
          <w:rFonts w:ascii="Times New Roman" w:hAnsi="Times New Roman" w:cs="Times New Roman"/>
          <w:bCs/>
          <w:sz w:val="20"/>
          <w:szCs w:val="20"/>
        </w:rPr>
        <w:t xml:space="preserve">, A.H., </w:t>
      </w:r>
      <w:proofErr w:type="spellStart"/>
      <w:r w:rsidR="00A21FFF" w:rsidRPr="00A21FFF">
        <w:rPr>
          <w:rFonts w:ascii="Times New Roman" w:hAnsi="Times New Roman" w:cs="Times New Roman"/>
          <w:bCs/>
          <w:sz w:val="20"/>
          <w:szCs w:val="20"/>
        </w:rPr>
        <w:t>Aliyu</w:t>
      </w:r>
      <w:proofErr w:type="spellEnd"/>
      <w:r w:rsidR="00A21FFF" w:rsidRPr="00A21FFF">
        <w:rPr>
          <w:rFonts w:ascii="Times New Roman" w:hAnsi="Times New Roman" w:cs="Times New Roman"/>
          <w:bCs/>
          <w:sz w:val="20"/>
          <w:szCs w:val="20"/>
        </w:rPr>
        <w:t xml:space="preserve">, S.U.R., </w:t>
      </w:r>
      <w:proofErr w:type="spellStart"/>
      <w:r w:rsidR="00A21FFF" w:rsidRPr="00A21FFF">
        <w:rPr>
          <w:rFonts w:ascii="Times New Roman" w:hAnsi="Times New Roman" w:cs="Times New Roman"/>
          <w:bCs/>
          <w:sz w:val="20"/>
          <w:szCs w:val="20"/>
        </w:rPr>
        <w:t>Shehu</w:t>
      </w:r>
      <w:proofErr w:type="spellEnd"/>
      <w:r w:rsidR="00A21FFF" w:rsidRPr="00A21FFF">
        <w:rPr>
          <w:rFonts w:ascii="Times New Roman" w:hAnsi="Times New Roman" w:cs="Times New Roman"/>
          <w:bCs/>
          <w:sz w:val="20"/>
          <w:szCs w:val="20"/>
        </w:rPr>
        <w:t xml:space="preserve">, F.M. (2024). Impact of non-interest financial inclusion on household livelihood in northwest Nigeria: A preliminary investigation.  King </w:t>
      </w:r>
      <w:proofErr w:type="spellStart"/>
      <w:r w:rsidR="00A21FFF" w:rsidRPr="00A21FFF">
        <w:rPr>
          <w:rFonts w:ascii="Times New Roman" w:hAnsi="Times New Roman" w:cs="Times New Roman"/>
          <w:bCs/>
          <w:sz w:val="20"/>
          <w:szCs w:val="20"/>
        </w:rPr>
        <w:t>Abdul’aziz</w:t>
      </w:r>
      <w:proofErr w:type="spellEnd"/>
      <w:r w:rsidR="00A21FFF" w:rsidRPr="00A21FFF">
        <w:rPr>
          <w:rFonts w:ascii="Times New Roman" w:hAnsi="Times New Roman" w:cs="Times New Roman"/>
          <w:bCs/>
          <w:sz w:val="20"/>
          <w:szCs w:val="20"/>
        </w:rPr>
        <w:t xml:space="preserve"> </w:t>
      </w:r>
      <w:proofErr w:type="spellStart"/>
      <w:r w:rsidR="00A21FFF" w:rsidRPr="00A21FFF">
        <w:rPr>
          <w:rFonts w:ascii="Times New Roman" w:hAnsi="Times New Roman" w:cs="Times New Roman"/>
          <w:bCs/>
          <w:sz w:val="20"/>
          <w:szCs w:val="20"/>
        </w:rPr>
        <w:t>Univerity</w:t>
      </w:r>
      <w:proofErr w:type="spellEnd"/>
      <w:r w:rsidR="00A21FFF" w:rsidRPr="00A21FFF">
        <w:rPr>
          <w:rFonts w:ascii="Times New Roman" w:hAnsi="Times New Roman" w:cs="Times New Roman"/>
          <w:bCs/>
          <w:sz w:val="20"/>
          <w:szCs w:val="20"/>
        </w:rPr>
        <w:t xml:space="preserve"> Journal of Islamic Economics, 37(1), 39–54.  </w:t>
      </w:r>
    </w:p>
    <w:p w:rsidR="00A21FFF" w:rsidRPr="00A21FFF" w:rsidRDefault="00C05439" w:rsidP="00A21FFF">
      <w:pPr>
        <w:pStyle w:val="NoSpacing"/>
        <w:ind w:left="567" w:hanging="567"/>
        <w:jc w:val="both"/>
        <w:rPr>
          <w:rFonts w:ascii="Times New Roman" w:hAnsi="Times New Roman" w:cs="Times New Roman"/>
          <w:sz w:val="20"/>
          <w:szCs w:val="20"/>
          <w:lang w:val="en-GB" w:eastAsia="en-GB"/>
        </w:rPr>
      </w:pPr>
      <w:r>
        <w:rPr>
          <w:rFonts w:ascii="Times New Roman" w:hAnsi="Times New Roman" w:cs="Times New Roman"/>
          <w:sz w:val="20"/>
          <w:szCs w:val="20"/>
        </w:rPr>
        <w:t>[11]</w:t>
      </w:r>
      <w:r>
        <w:rPr>
          <w:rFonts w:ascii="Times New Roman" w:hAnsi="Times New Roman" w:cs="Times New Roman"/>
          <w:sz w:val="20"/>
          <w:szCs w:val="20"/>
        </w:rPr>
        <w:tab/>
      </w:r>
      <w:proofErr w:type="spellStart"/>
      <w:r w:rsidR="00A21FFF" w:rsidRPr="00A21FFF">
        <w:rPr>
          <w:rFonts w:ascii="Times New Roman" w:hAnsi="Times New Roman" w:cs="Times New Roman"/>
          <w:sz w:val="20"/>
          <w:szCs w:val="20"/>
        </w:rPr>
        <w:t>Danlami</w:t>
      </w:r>
      <w:proofErr w:type="spellEnd"/>
      <w:r w:rsidR="00A21FFF" w:rsidRPr="00A21FFF">
        <w:rPr>
          <w:rFonts w:ascii="Times New Roman" w:hAnsi="Times New Roman" w:cs="Times New Roman"/>
          <w:sz w:val="20"/>
          <w:szCs w:val="20"/>
        </w:rPr>
        <w:t xml:space="preserve">, </w:t>
      </w:r>
      <w:proofErr w:type="spellStart"/>
      <w:r w:rsidR="00A21FFF" w:rsidRPr="00A21FFF">
        <w:rPr>
          <w:rFonts w:ascii="Times New Roman" w:hAnsi="Times New Roman" w:cs="Times New Roman"/>
          <w:sz w:val="20"/>
          <w:szCs w:val="20"/>
        </w:rPr>
        <w:t>A.H.</w:t>
      </w:r>
      <w:proofErr w:type="gramStart"/>
      <w:r w:rsidR="00A21FFF" w:rsidRPr="00A21FFF">
        <w:rPr>
          <w:rFonts w:ascii="Times New Roman" w:hAnsi="Times New Roman" w:cs="Times New Roman"/>
          <w:sz w:val="20"/>
          <w:szCs w:val="20"/>
        </w:rPr>
        <w:t>,</w:t>
      </w:r>
      <w:r w:rsidR="00A21FFF" w:rsidRPr="00A21FFF">
        <w:rPr>
          <w:rFonts w:ascii="Times New Roman" w:hAnsi="Times New Roman" w:cs="Times New Roman"/>
          <w:bCs/>
          <w:sz w:val="20"/>
          <w:szCs w:val="20"/>
        </w:rPr>
        <w:t>Islam</w:t>
      </w:r>
      <w:proofErr w:type="spellEnd"/>
      <w:proofErr w:type="gramEnd"/>
      <w:r w:rsidR="00A21FFF" w:rsidRPr="00A21FFF">
        <w:rPr>
          <w:rFonts w:ascii="Times New Roman" w:hAnsi="Times New Roman" w:cs="Times New Roman"/>
          <w:bCs/>
          <w:sz w:val="20"/>
          <w:szCs w:val="20"/>
        </w:rPr>
        <w:t xml:space="preserve">, R., </w:t>
      </w:r>
      <w:proofErr w:type="spellStart"/>
      <w:r w:rsidR="00A21FFF" w:rsidRPr="00A21FFF">
        <w:rPr>
          <w:rFonts w:ascii="Times New Roman" w:hAnsi="Times New Roman" w:cs="Times New Roman"/>
          <w:bCs/>
          <w:sz w:val="20"/>
          <w:szCs w:val="20"/>
        </w:rPr>
        <w:t>Applanaidu</w:t>
      </w:r>
      <w:proofErr w:type="spellEnd"/>
      <w:r w:rsidR="00A21FFF" w:rsidRPr="00A21FFF">
        <w:rPr>
          <w:rFonts w:ascii="Times New Roman" w:hAnsi="Times New Roman" w:cs="Times New Roman"/>
          <w:bCs/>
          <w:sz w:val="20"/>
          <w:szCs w:val="20"/>
        </w:rPr>
        <w:t>, S.D., &amp;</w:t>
      </w:r>
      <w:proofErr w:type="spellStart"/>
      <w:r w:rsidR="00A21FFF" w:rsidRPr="00A21FFF">
        <w:rPr>
          <w:rFonts w:ascii="Times New Roman" w:hAnsi="Times New Roman" w:cs="Times New Roman"/>
          <w:bCs/>
          <w:sz w:val="20"/>
          <w:szCs w:val="20"/>
        </w:rPr>
        <w:t>Tsauni</w:t>
      </w:r>
      <w:proofErr w:type="spellEnd"/>
      <w:r w:rsidR="00A21FFF" w:rsidRPr="00A21FFF">
        <w:rPr>
          <w:rFonts w:ascii="Times New Roman" w:hAnsi="Times New Roman" w:cs="Times New Roman"/>
          <w:bCs/>
          <w:sz w:val="20"/>
          <w:szCs w:val="20"/>
        </w:rPr>
        <w:t xml:space="preserve"> A.M. (2016).</w:t>
      </w:r>
      <w:r w:rsidR="00A21FFF" w:rsidRPr="00A21FFF">
        <w:rPr>
          <w:rFonts w:ascii="Times New Roman" w:hAnsi="Times New Roman" w:cs="Times New Roman"/>
          <w:sz w:val="20"/>
          <w:szCs w:val="20"/>
        </w:rPr>
        <w:t xml:space="preserve">An empirical analysis of fertiliser use intensity in rural Sub-Saharan Africa: evidence from </w:t>
      </w:r>
      <w:proofErr w:type="spellStart"/>
      <w:r w:rsidR="00A21FFF" w:rsidRPr="00A21FFF">
        <w:rPr>
          <w:rFonts w:ascii="Times New Roman" w:hAnsi="Times New Roman" w:cs="Times New Roman"/>
          <w:sz w:val="20"/>
          <w:szCs w:val="20"/>
        </w:rPr>
        <w:t>Tofa</w:t>
      </w:r>
      <w:proofErr w:type="spellEnd"/>
      <w:r w:rsidR="00A21FFF" w:rsidRPr="00A21FFF">
        <w:rPr>
          <w:rFonts w:ascii="Times New Roman" w:hAnsi="Times New Roman" w:cs="Times New Roman"/>
          <w:sz w:val="20"/>
          <w:szCs w:val="20"/>
        </w:rPr>
        <w:t xml:space="preserve"> local government area Kano state, Nigeria. </w:t>
      </w:r>
      <w:r w:rsidR="00A21FFF" w:rsidRPr="00A21FFF">
        <w:rPr>
          <w:rFonts w:ascii="Times New Roman" w:hAnsi="Times New Roman" w:cs="Times New Roman"/>
          <w:i/>
          <w:iCs/>
          <w:sz w:val="20"/>
          <w:szCs w:val="20"/>
        </w:rPr>
        <w:t>International Journal of Social Economics, 43</w:t>
      </w:r>
      <w:r w:rsidR="00A21FFF" w:rsidRPr="00A21FFF">
        <w:rPr>
          <w:rFonts w:ascii="Times New Roman" w:hAnsi="Times New Roman" w:cs="Times New Roman"/>
          <w:sz w:val="20"/>
          <w:szCs w:val="20"/>
        </w:rPr>
        <w:t xml:space="preserve">(12), </w:t>
      </w:r>
      <w:r w:rsidR="00A21FFF" w:rsidRPr="00A21FFF">
        <w:rPr>
          <w:rFonts w:ascii="Times New Roman" w:hAnsi="Times New Roman" w:cs="Times New Roman"/>
          <w:sz w:val="20"/>
          <w:szCs w:val="20"/>
          <w:lang w:val="en-GB" w:eastAsia="en-GB"/>
        </w:rPr>
        <w:t>1400–1419.</w:t>
      </w:r>
    </w:p>
    <w:p w:rsidR="00A21FFF" w:rsidRPr="00A21FFF" w:rsidRDefault="00C05439" w:rsidP="00A21FFF">
      <w:pPr>
        <w:pStyle w:val="NoSpacing"/>
        <w:ind w:left="567" w:hanging="567"/>
        <w:jc w:val="both"/>
        <w:rPr>
          <w:rFonts w:ascii="Times New Roman" w:hAnsi="Times New Roman" w:cs="Times New Roman"/>
          <w:sz w:val="20"/>
          <w:szCs w:val="20"/>
        </w:rPr>
      </w:pPr>
      <w:r>
        <w:rPr>
          <w:rFonts w:ascii="Times New Roman" w:hAnsi="Times New Roman" w:cs="Times New Roman"/>
          <w:sz w:val="20"/>
          <w:szCs w:val="20"/>
        </w:rPr>
        <w:t>[12]</w:t>
      </w:r>
      <w:r>
        <w:rPr>
          <w:rFonts w:ascii="Times New Roman" w:hAnsi="Times New Roman" w:cs="Times New Roman"/>
          <w:sz w:val="20"/>
          <w:szCs w:val="20"/>
        </w:rPr>
        <w:tab/>
      </w:r>
      <w:proofErr w:type="spellStart"/>
      <w:r w:rsidR="00A21FFF" w:rsidRPr="00A21FFF">
        <w:rPr>
          <w:rFonts w:ascii="Times New Roman" w:hAnsi="Times New Roman" w:cs="Times New Roman"/>
          <w:sz w:val="20"/>
          <w:szCs w:val="20"/>
        </w:rPr>
        <w:t>Danlami</w:t>
      </w:r>
      <w:proofErr w:type="spellEnd"/>
      <w:r w:rsidR="00A21FFF" w:rsidRPr="00A21FFF">
        <w:rPr>
          <w:rFonts w:ascii="Times New Roman" w:hAnsi="Times New Roman" w:cs="Times New Roman"/>
          <w:sz w:val="20"/>
          <w:szCs w:val="20"/>
        </w:rPr>
        <w:t>, A.H.</w:t>
      </w:r>
      <w:proofErr w:type="gramStart"/>
      <w:r w:rsidR="00A21FFF" w:rsidRPr="00A21FFF">
        <w:rPr>
          <w:rFonts w:ascii="Times New Roman" w:hAnsi="Times New Roman" w:cs="Times New Roman"/>
          <w:sz w:val="20"/>
          <w:szCs w:val="20"/>
        </w:rPr>
        <w:t>,</w:t>
      </w:r>
      <w:proofErr w:type="spellStart"/>
      <w:r w:rsidR="00A21FFF" w:rsidRPr="00A21FFF">
        <w:rPr>
          <w:rFonts w:ascii="Times New Roman" w:hAnsi="Times New Roman" w:cs="Times New Roman"/>
          <w:bCs/>
          <w:sz w:val="20"/>
          <w:szCs w:val="20"/>
        </w:rPr>
        <w:t>Applanaidu</w:t>
      </w:r>
      <w:proofErr w:type="spellEnd"/>
      <w:proofErr w:type="gramEnd"/>
      <w:r w:rsidR="00A21FFF" w:rsidRPr="00A21FFF">
        <w:rPr>
          <w:rFonts w:ascii="Times New Roman" w:hAnsi="Times New Roman" w:cs="Times New Roman"/>
          <w:bCs/>
          <w:sz w:val="20"/>
          <w:szCs w:val="20"/>
        </w:rPr>
        <w:t>, S. D., &amp; Islam, R. (2017).</w:t>
      </w:r>
      <w:r w:rsidR="00A21FFF" w:rsidRPr="00A21FFF">
        <w:rPr>
          <w:rFonts w:ascii="Times New Roman" w:hAnsi="Times New Roman" w:cs="Times New Roman"/>
          <w:sz w:val="20"/>
          <w:szCs w:val="20"/>
        </w:rPr>
        <w:t xml:space="preserve"> </w:t>
      </w:r>
      <w:proofErr w:type="gramStart"/>
      <w:r w:rsidR="00A21FFF" w:rsidRPr="00A21FFF">
        <w:rPr>
          <w:rFonts w:ascii="Times New Roman" w:hAnsi="Times New Roman" w:cs="Times New Roman"/>
          <w:sz w:val="20"/>
          <w:szCs w:val="20"/>
        </w:rPr>
        <w:t>From biomass cooking fuel sources to modern alternatives for Bauchi State households: A preliminary analysis.</w:t>
      </w:r>
      <w:proofErr w:type="gramEnd"/>
      <w:r w:rsidR="00A21FFF" w:rsidRPr="00A21FFF">
        <w:rPr>
          <w:rFonts w:ascii="Times New Roman" w:hAnsi="Times New Roman" w:cs="Times New Roman"/>
          <w:sz w:val="20"/>
          <w:szCs w:val="20"/>
        </w:rPr>
        <w:t xml:space="preserve"> </w:t>
      </w:r>
      <w:r w:rsidR="00A21FFF" w:rsidRPr="00A21FFF">
        <w:rPr>
          <w:rFonts w:ascii="Times New Roman" w:hAnsi="Times New Roman" w:cs="Times New Roman"/>
          <w:i/>
          <w:sz w:val="20"/>
          <w:szCs w:val="20"/>
        </w:rPr>
        <w:t>Biofuels, 8</w:t>
      </w:r>
      <w:r w:rsidR="00A21FFF" w:rsidRPr="00A21FFF">
        <w:rPr>
          <w:rFonts w:ascii="Times New Roman" w:hAnsi="Times New Roman" w:cs="Times New Roman"/>
          <w:sz w:val="20"/>
          <w:szCs w:val="20"/>
        </w:rPr>
        <w:t>(3), 323-331.</w:t>
      </w:r>
    </w:p>
    <w:p w:rsidR="00A21FFF" w:rsidRPr="00A21FFF" w:rsidRDefault="00C05439" w:rsidP="00A21FFF">
      <w:pPr>
        <w:pStyle w:val="NoSpacing"/>
        <w:ind w:left="567" w:hanging="567"/>
        <w:jc w:val="both"/>
        <w:rPr>
          <w:rFonts w:ascii="Times New Roman" w:hAnsi="Times New Roman" w:cs="Times New Roman"/>
          <w:sz w:val="20"/>
          <w:szCs w:val="20"/>
        </w:rPr>
      </w:pPr>
      <w:r>
        <w:rPr>
          <w:rFonts w:ascii="Times New Roman" w:hAnsi="Times New Roman" w:cs="Times New Roman"/>
          <w:sz w:val="20"/>
          <w:szCs w:val="20"/>
        </w:rPr>
        <w:t>[13]</w:t>
      </w:r>
      <w:r>
        <w:rPr>
          <w:rFonts w:ascii="Times New Roman" w:hAnsi="Times New Roman" w:cs="Times New Roman"/>
          <w:sz w:val="20"/>
          <w:szCs w:val="20"/>
        </w:rPr>
        <w:tab/>
      </w:r>
      <w:proofErr w:type="spellStart"/>
      <w:r w:rsidR="00A21FFF" w:rsidRPr="00A21FFF">
        <w:rPr>
          <w:rFonts w:ascii="Times New Roman" w:hAnsi="Times New Roman" w:cs="Times New Roman"/>
          <w:sz w:val="20"/>
          <w:szCs w:val="20"/>
        </w:rPr>
        <w:t>Dhumale</w:t>
      </w:r>
      <w:proofErr w:type="spellEnd"/>
      <w:r w:rsidR="00A21FFF" w:rsidRPr="00A21FFF">
        <w:rPr>
          <w:rFonts w:ascii="Times New Roman" w:hAnsi="Times New Roman" w:cs="Times New Roman"/>
          <w:sz w:val="20"/>
          <w:szCs w:val="20"/>
        </w:rPr>
        <w:t xml:space="preserve">, R. and A. </w:t>
      </w:r>
      <w:proofErr w:type="spellStart"/>
      <w:r w:rsidR="00A21FFF" w:rsidRPr="00A21FFF">
        <w:rPr>
          <w:rFonts w:ascii="Times New Roman" w:hAnsi="Times New Roman" w:cs="Times New Roman"/>
          <w:sz w:val="20"/>
          <w:szCs w:val="20"/>
        </w:rPr>
        <w:t>Sapcanin</w:t>
      </w:r>
      <w:proofErr w:type="spellEnd"/>
      <w:r w:rsidR="00A21FFF" w:rsidRPr="00A21FFF">
        <w:rPr>
          <w:rFonts w:ascii="Times New Roman" w:hAnsi="Times New Roman" w:cs="Times New Roman"/>
          <w:sz w:val="20"/>
          <w:szCs w:val="20"/>
        </w:rPr>
        <w:t xml:space="preserve"> (1998).</w:t>
      </w:r>
      <w:r w:rsidR="00A21FFF" w:rsidRPr="00A21FFF">
        <w:rPr>
          <w:rFonts w:ascii="Times New Roman" w:hAnsi="Times New Roman" w:cs="Times New Roman"/>
          <w:i/>
          <w:sz w:val="20"/>
          <w:szCs w:val="20"/>
        </w:rPr>
        <w:t>An Application of Islamic Banking to Microfinance,</w:t>
      </w:r>
      <w:r w:rsidR="00A21FFF" w:rsidRPr="00A21FFF">
        <w:rPr>
          <w:rFonts w:ascii="Times New Roman" w:hAnsi="Times New Roman" w:cs="Times New Roman"/>
          <w:sz w:val="20"/>
          <w:szCs w:val="20"/>
        </w:rPr>
        <w:t xml:space="preserve"> United Nations Development Program, Regional Bureau for Arab States, New York, NY</w:t>
      </w:r>
    </w:p>
    <w:p w:rsidR="00A21FFF" w:rsidRPr="00A21FFF" w:rsidRDefault="00C05439" w:rsidP="00A21FFF">
      <w:pPr>
        <w:pStyle w:val="NoSpacing"/>
        <w:ind w:left="567" w:hanging="567"/>
        <w:jc w:val="both"/>
        <w:rPr>
          <w:rFonts w:ascii="Times New Roman" w:hAnsi="Times New Roman" w:cs="Times New Roman"/>
          <w:sz w:val="20"/>
          <w:szCs w:val="20"/>
        </w:rPr>
      </w:pPr>
      <w:r>
        <w:rPr>
          <w:rFonts w:ascii="Times New Roman" w:hAnsi="Times New Roman" w:cs="Times New Roman"/>
          <w:sz w:val="20"/>
          <w:szCs w:val="20"/>
        </w:rPr>
        <w:t>[14]</w:t>
      </w:r>
      <w:r>
        <w:rPr>
          <w:rFonts w:ascii="Times New Roman" w:hAnsi="Times New Roman" w:cs="Times New Roman"/>
          <w:sz w:val="20"/>
          <w:szCs w:val="20"/>
        </w:rPr>
        <w:tab/>
      </w:r>
      <w:proofErr w:type="spellStart"/>
      <w:r w:rsidR="00A21FFF" w:rsidRPr="00A21FFF">
        <w:rPr>
          <w:rFonts w:ascii="Times New Roman" w:hAnsi="Times New Roman" w:cs="Times New Roman"/>
          <w:sz w:val="20"/>
          <w:szCs w:val="20"/>
        </w:rPr>
        <w:t>Dusuki</w:t>
      </w:r>
      <w:proofErr w:type="spellEnd"/>
      <w:r w:rsidR="00A21FFF" w:rsidRPr="00A21FFF">
        <w:rPr>
          <w:rFonts w:ascii="Times New Roman" w:hAnsi="Times New Roman" w:cs="Times New Roman"/>
          <w:sz w:val="20"/>
          <w:szCs w:val="20"/>
        </w:rPr>
        <w:t xml:space="preserve">, A. W. &amp; </w:t>
      </w:r>
      <w:proofErr w:type="spellStart"/>
      <w:r w:rsidR="00A21FFF" w:rsidRPr="00A21FFF">
        <w:rPr>
          <w:rFonts w:ascii="Times New Roman" w:hAnsi="Times New Roman" w:cs="Times New Roman"/>
          <w:sz w:val="20"/>
          <w:szCs w:val="20"/>
        </w:rPr>
        <w:t>Abozaid</w:t>
      </w:r>
      <w:proofErr w:type="spellEnd"/>
      <w:r w:rsidR="00A21FFF" w:rsidRPr="00A21FFF">
        <w:rPr>
          <w:rFonts w:ascii="Times New Roman" w:hAnsi="Times New Roman" w:cs="Times New Roman"/>
          <w:sz w:val="20"/>
          <w:szCs w:val="20"/>
        </w:rPr>
        <w:t xml:space="preserve">, A. (2007). A critical appraisal on the challenges of realizing </w:t>
      </w:r>
      <w:proofErr w:type="spellStart"/>
      <w:r w:rsidR="00A21FFF" w:rsidRPr="00A21FFF">
        <w:rPr>
          <w:rFonts w:ascii="Times New Roman" w:hAnsi="Times New Roman" w:cs="Times New Roman"/>
          <w:sz w:val="20"/>
          <w:szCs w:val="20"/>
        </w:rPr>
        <w:t>Maqasid</w:t>
      </w:r>
      <w:proofErr w:type="spellEnd"/>
      <w:r w:rsidR="00A21FFF" w:rsidRPr="00A21FFF">
        <w:rPr>
          <w:rFonts w:ascii="Times New Roman" w:hAnsi="Times New Roman" w:cs="Times New Roman"/>
          <w:sz w:val="20"/>
          <w:szCs w:val="20"/>
        </w:rPr>
        <w:t xml:space="preserve"> al-</w:t>
      </w:r>
      <w:proofErr w:type="spellStart"/>
      <w:r w:rsidR="00A21FFF" w:rsidRPr="00A21FFF">
        <w:rPr>
          <w:rFonts w:ascii="Times New Roman" w:hAnsi="Times New Roman" w:cs="Times New Roman"/>
          <w:sz w:val="20"/>
          <w:szCs w:val="20"/>
        </w:rPr>
        <w:t>Sharīʿah</w:t>
      </w:r>
      <w:proofErr w:type="spellEnd"/>
      <w:r w:rsidR="00A21FFF" w:rsidRPr="00A21FFF">
        <w:rPr>
          <w:rFonts w:ascii="Times New Roman" w:hAnsi="Times New Roman" w:cs="Times New Roman"/>
          <w:sz w:val="20"/>
          <w:szCs w:val="20"/>
        </w:rPr>
        <w:t xml:space="preserve"> in Islamic banking </w:t>
      </w:r>
      <w:proofErr w:type="gramStart"/>
      <w:r w:rsidR="00A21FFF" w:rsidRPr="00A21FFF">
        <w:rPr>
          <w:rFonts w:ascii="Times New Roman" w:hAnsi="Times New Roman" w:cs="Times New Roman"/>
          <w:sz w:val="20"/>
          <w:szCs w:val="20"/>
        </w:rPr>
        <w:t>a finance</w:t>
      </w:r>
      <w:proofErr w:type="gramEnd"/>
      <w:r w:rsidR="00A21FFF" w:rsidRPr="00A21FFF">
        <w:rPr>
          <w:rFonts w:ascii="Times New Roman" w:hAnsi="Times New Roman" w:cs="Times New Roman"/>
          <w:sz w:val="20"/>
          <w:szCs w:val="20"/>
        </w:rPr>
        <w:t xml:space="preserve">. </w:t>
      </w:r>
      <w:r w:rsidR="00A21FFF" w:rsidRPr="00A21FFF">
        <w:rPr>
          <w:rFonts w:ascii="Times New Roman" w:hAnsi="Times New Roman" w:cs="Times New Roman"/>
          <w:i/>
          <w:sz w:val="20"/>
          <w:szCs w:val="20"/>
        </w:rPr>
        <w:t>IIUM Journal of Economics and Management 15</w:t>
      </w:r>
      <w:r w:rsidR="00A21FFF" w:rsidRPr="00A21FFF">
        <w:rPr>
          <w:rFonts w:ascii="Times New Roman" w:hAnsi="Times New Roman" w:cs="Times New Roman"/>
          <w:sz w:val="20"/>
          <w:szCs w:val="20"/>
        </w:rPr>
        <w:t>(2)</w:t>
      </w:r>
      <w:proofErr w:type="gramStart"/>
      <w:r w:rsidR="00A21FFF" w:rsidRPr="00A21FFF">
        <w:rPr>
          <w:rFonts w:ascii="Times New Roman" w:hAnsi="Times New Roman" w:cs="Times New Roman"/>
          <w:sz w:val="20"/>
          <w:szCs w:val="20"/>
        </w:rPr>
        <w:t>,143</w:t>
      </w:r>
      <w:proofErr w:type="gramEnd"/>
      <w:r w:rsidR="00A21FFF" w:rsidRPr="00A21FFF">
        <w:rPr>
          <w:rFonts w:ascii="Times New Roman" w:hAnsi="Times New Roman" w:cs="Times New Roman"/>
          <w:sz w:val="20"/>
          <w:szCs w:val="20"/>
        </w:rPr>
        <w:t>-165.</w:t>
      </w:r>
    </w:p>
    <w:p w:rsidR="00A21FFF" w:rsidRPr="00A21FFF" w:rsidRDefault="00C05439" w:rsidP="00A21FFF">
      <w:pPr>
        <w:pStyle w:val="NoSpacing"/>
        <w:ind w:left="567" w:hanging="567"/>
        <w:jc w:val="both"/>
        <w:rPr>
          <w:rFonts w:ascii="Times New Roman" w:hAnsi="Times New Roman" w:cs="Times New Roman"/>
          <w:sz w:val="20"/>
          <w:szCs w:val="20"/>
        </w:rPr>
      </w:pPr>
      <w:r>
        <w:rPr>
          <w:rFonts w:ascii="Times New Roman" w:hAnsi="Times New Roman" w:cs="Times New Roman"/>
          <w:sz w:val="20"/>
          <w:szCs w:val="20"/>
        </w:rPr>
        <w:t>[15]</w:t>
      </w:r>
      <w:r>
        <w:rPr>
          <w:rFonts w:ascii="Times New Roman" w:hAnsi="Times New Roman" w:cs="Times New Roman"/>
          <w:sz w:val="20"/>
          <w:szCs w:val="20"/>
        </w:rPr>
        <w:tab/>
      </w:r>
      <w:r w:rsidR="00A21FFF" w:rsidRPr="00A21FFF">
        <w:rPr>
          <w:rFonts w:ascii="Times New Roman" w:hAnsi="Times New Roman" w:cs="Times New Roman"/>
          <w:sz w:val="20"/>
          <w:szCs w:val="20"/>
        </w:rPr>
        <w:t xml:space="preserve">El-Gamal, M. A. (2006). </w:t>
      </w:r>
      <w:r w:rsidR="00A21FFF" w:rsidRPr="00A21FFF">
        <w:rPr>
          <w:rFonts w:ascii="Times New Roman" w:hAnsi="Times New Roman" w:cs="Times New Roman"/>
          <w:i/>
          <w:sz w:val="20"/>
          <w:szCs w:val="20"/>
        </w:rPr>
        <w:t xml:space="preserve">Islamic Finance: Law and Practice, </w:t>
      </w:r>
      <w:r w:rsidR="00A21FFF" w:rsidRPr="00A21FFF">
        <w:rPr>
          <w:rFonts w:ascii="Times New Roman" w:hAnsi="Times New Roman" w:cs="Times New Roman"/>
          <w:sz w:val="20"/>
          <w:szCs w:val="20"/>
        </w:rPr>
        <w:t>Cambridge University Press, Cambridge.</w:t>
      </w:r>
    </w:p>
    <w:p w:rsidR="00A21FFF" w:rsidRPr="00A21FFF" w:rsidRDefault="00C05439" w:rsidP="00A21FFF">
      <w:pPr>
        <w:pStyle w:val="NoSpacing"/>
        <w:ind w:left="567" w:hanging="567"/>
        <w:jc w:val="both"/>
        <w:rPr>
          <w:rFonts w:ascii="Times New Roman" w:hAnsi="Times New Roman" w:cs="Times New Roman"/>
          <w:sz w:val="20"/>
          <w:szCs w:val="20"/>
        </w:rPr>
      </w:pPr>
      <w:r>
        <w:rPr>
          <w:rFonts w:ascii="Times New Roman" w:hAnsi="Times New Roman" w:cs="Times New Roman"/>
          <w:sz w:val="20"/>
          <w:szCs w:val="20"/>
        </w:rPr>
        <w:t>[16]</w:t>
      </w:r>
      <w:r>
        <w:rPr>
          <w:rFonts w:ascii="Times New Roman" w:hAnsi="Times New Roman" w:cs="Times New Roman"/>
          <w:sz w:val="20"/>
          <w:szCs w:val="20"/>
        </w:rPr>
        <w:tab/>
      </w:r>
      <w:r w:rsidR="00A21FFF" w:rsidRPr="00A21FFF">
        <w:rPr>
          <w:rFonts w:ascii="Times New Roman" w:hAnsi="Times New Roman" w:cs="Times New Roman"/>
          <w:sz w:val="20"/>
          <w:szCs w:val="20"/>
        </w:rPr>
        <w:t xml:space="preserve">Gujarati D.N. (2004): </w:t>
      </w:r>
      <w:r w:rsidR="00A21FFF" w:rsidRPr="00A21FFF">
        <w:rPr>
          <w:rFonts w:ascii="Times New Roman" w:hAnsi="Times New Roman" w:cs="Times New Roman"/>
          <w:i/>
          <w:iCs/>
          <w:sz w:val="20"/>
          <w:szCs w:val="20"/>
        </w:rPr>
        <w:t>Basic Econometrics</w:t>
      </w:r>
      <w:r w:rsidR="00A21FFF" w:rsidRPr="00A21FFF">
        <w:rPr>
          <w:rFonts w:ascii="Times New Roman" w:hAnsi="Times New Roman" w:cs="Times New Roman"/>
          <w:sz w:val="20"/>
          <w:szCs w:val="20"/>
        </w:rPr>
        <w:t>, Fourth Edition, Tata McGraw hill Publishing Company, Limited, New Delhi, India.</w:t>
      </w:r>
    </w:p>
    <w:p w:rsidR="00A21FFF" w:rsidRPr="00A21FFF" w:rsidRDefault="00C05439" w:rsidP="00A21FFF">
      <w:pPr>
        <w:pStyle w:val="NoSpacing"/>
        <w:ind w:left="567" w:hanging="567"/>
        <w:jc w:val="both"/>
        <w:rPr>
          <w:rFonts w:ascii="Times New Roman" w:hAnsi="Times New Roman" w:cs="Times New Roman"/>
          <w:sz w:val="20"/>
          <w:szCs w:val="20"/>
        </w:rPr>
      </w:pPr>
      <w:r>
        <w:rPr>
          <w:rFonts w:ascii="Times New Roman" w:hAnsi="Times New Roman" w:cs="Times New Roman"/>
          <w:sz w:val="20"/>
          <w:szCs w:val="20"/>
        </w:rPr>
        <w:t>[17]</w:t>
      </w:r>
      <w:r>
        <w:rPr>
          <w:rFonts w:ascii="Times New Roman" w:hAnsi="Times New Roman" w:cs="Times New Roman"/>
          <w:sz w:val="20"/>
          <w:szCs w:val="20"/>
        </w:rPr>
        <w:tab/>
      </w:r>
      <w:r w:rsidR="00A21FFF" w:rsidRPr="00A21FFF">
        <w:rPr>
          <w:rFonts w:ascii="Times New Roman" w:hAnsi="Times New Roman" w:cs="Times New Roman"/>
          <w:sz w:val="20"/>
          <w:szCs w:val="20"/>
        </w:rPr>
        <w:t xml:space="preserve">Hoffmann, V., Rao, V., </w:t>
      </w:r>
      <w:proofErr w:type="spellStart"/>
      <w:r w:rsidR="00A21FFF" w:rsidRPr="00A21FFF">
        <w:rPr>
          <w:rFonts w:ascii="Times New Roman" w:hAnsi="Times New Roman" w:cs="Times New Roman"/>
          <w:sz w:val="20"/>
          <w:szCs w:val="20"/>
        </w:rPr>
        <w:t>Datta</w:t>
      </w:r>
      <w:proofErr w:type="spellEnd"/>
      <w:r w:rsidR="00A21FFF" w:rsidRPr="00A21FFF">
        <w:rPr>
          <w:rFonts w:ascii="Times New Roman" w:hAnsi="Times New Roman" w:cs="Times New Roman"/>
          <w:sz w:val="20"/>
          <w:szCs w:val="20"/>
        </w:rPr>
        <w:t xml:space="preserve">, U., </w:t>
      </w:r>
      <w:proofErr w:type="spellStart"/>
      <w:r w:rsidR="00A21FFF" w:rsidRPr="00A21FFF">
        <w:rPr>
          <w:rFonts w:ascii="Times New Roman" w:hAnsi="Times New Roman" w:cs="Times New Roman"/>
          <w:sz w:val="20"/>
          <w:szCs w:val="20"/>
        </w:rPr>
        <w:t>Sanyal</w:t>
      </w:r>
      <w:proofErr w:type="spellEnd"/>
      <w:r w:rsidR="00A21FFF" w:rsidRPr="00A21FFF">
        <w:rPr>
          <w:rFonts w:ascii="Times New Roman" w:hAnsi="Times New Roman" w:cs="Times New Roman"/>
          <w:sz w:val="20"/>
          <w:szCs w:val="20"/>
        </w:rPr>
        <w:t xml:space="preserve">, P, </w:t>
      </w:r>
      <w:proofErr w:type="spellStart"/>
      <w:r w:rsidR="00A21FFF" w:rsidRPr="00A21FFF">
        <w:rPr>
          <w:rFonts w:ascii="Times New Roman" w:hAnsi="Times New Roman" w:cs="Times New Roman"/>
          <w:sz w:val="20"/>
          <w:szCs w:val="20"/>
        </w:rPr>
        <w:t>Surendra</w:t>
      </w:r>
      <w:proofErr w:type="spellEnd"/>
      <w:r w:rsidR="00A21FFF" w:rsidRPr="00A21FFF">
        <w:rPr>
          <w:rFonts w:ascii="Times New Roman" w:hAnsi="Times New Roman" w:cs="Times New Roman"/>
          <w:sz w:val="20"/>
          <w:szCs w:val="20"/>
        </w:rPr>
        <w:t xml:space="preserve">, V., &amp; </w:t>
      </w:r>
      <w:proofErr w:type="spellStart"/>
      <w:r w:rsidR="00A21FFF" w:rsidRPr="00A21FFF">
        <w:rPr>
          <w:rFonts w:ascii="Times New Roman" w:hAnsi="Times New Roman" w:cs="Times New Roman"/>
          <w:sz w:val="20"/>
          <w:szCs w:val="20"/>
        </w:rPr>
        <w:t>Majumdar</w:t>
      </w:r>
      <w:proofErr w:type="spellEnd"/>
      <w:r w:rsidR="00A21FFF" w:rsidRPr="00A21FFF">
        <w:rPr>
          <w:rFonts w:ascii="Times New Roman" w:hAnsi="Times New Roman" w:cs="Times New Roman"/>
          <w:sz w:val="20"/>
          <w:szCs w:val="20"/>
        </w:rPr>
        <w:t xml:space="preserve">, S. (2018). Poverty and empowerment impact of the Bihar Rural livelihood project in India. </w:t>
      </w:r>
      <w:proofErr w:type="gramStart"/>
      <w:r w:rsidR="00A21FFF" w:rsidRPr="00A21FFF">
        <w:rPr>
          <w:rFonts w:ascii="Times New Roman" w:hAnsi="Times New Roman" w:cs="Times New Roman"/>
          <w:i/>
          <w:iCs/>
          <w:sz w:val="20"/>
          <w:szCs w:val="20"/>
        </w:rPr>
        <w:t>Impact evaluation report</w:t>
      </w:r>
      <w:r w:rsidR="00A21FFF" w:rsidRPr="00A21FFF">
        <w:rPr>
          <w:rFonts w:ascii="Times New Roman" w:hAnsi="Times New Roman" w:cs="Times New Roman"/>
          <w:sz w:val="20"/>
          <w:szCs w:val="20"/>
        </w:rPr>
        <w:t>, 71.</w:t>
      </w:r>
      <w:proofErr w:type="gramEnd"/>
    </w:p>
    <w:p w:rsidR="00A21FFF" w:rsidRPr="00A21FFF" w:rsidRDefault="00C05439" w:rsidP="00A21FFF">
      <w:pPr>
        <w:pStyle w:val="NoSpacing"/>
        <w:ind w:left="567" w:hanging="567"/>
        <w:jc w:val="both"/>
        <w:rPr>
          <w:rFonts w:ascii="Times New Roman" w:hAnsi="Times New Roman" w:cs="Times New Roman"/>
          <w:sz w:val="20"/>
          <w:szCs w:val="20"/>
        </w:rPr>
      </w:pPr>
      <w:r>
        <w:rPr>
          <w:rFonts w:ascii="Times New Roman" w:hAnsi="Times New Roman" w:cs="Times New Roman"/>
          <w:sz w:val="20"/>
          <w:szCs w:val="20"/>
        </w:rPr>
        <w:t>[18]</w:t>
      </w:r>
      <w:r>
        <w:rPr>
          <w:rFonts w:ascii="Times New Roman" w:hAnsi="Times New Roman" w:cs="Times New Roman"/>
          <w:sz w:val="20"/>
          <w:szCs w:val="20"/>
        </w:rPr>
        <w:tab/>
      </w:r>
      <w:proofErr w:type="spellStart"/>
      <w:r w:rsidR="00A21FFF" w:rsidRPr="00A21FFF">
        <w:rPr>
          <w:rFonts w:ascii="Times New Roman" w:hAnsi="Times New Roman" w:cs="Times New Roman"/>
          <w:sz w:val="20"/>
          <w:szCs w:val="20"/>
        </w:rPr>
        <w:t>Jailos</w:t>
      </w:r>
      <w:proofErr w:type="spellEnd"/>
      <w:r w:rsidR="00A21FFF" w:rsidRPr="00A21FFF">
        <w:rPr>
          <w:rFonts w:ascii="Times New Roman" w:hAnsi="Times New Roman" w:cs="Times New Roman"/>
          <w:sz w:val="20"/>
          <w:szCs w:val="20"/>
        </w:rPr>
        <w:t>, M. (2019). Assessment of contribution of the financial inclusion on rural households’ livelihood in Tanzania: A case of Iringa District.</w:t>
      </w:r>
      <w:r w:rsidR="00A21FFF" w:rsidRPr="00A21FFF">
        <w:rPr>
          <w:rFonts w:ascii="Times New Roman" w:hAnsi="Times New Roman" w:cs="Times New Roman"/>
          <w:i/>
          <w:iCs/>
          <w:sz w:val="20"/>
          <w:szCs w:val="20"/>
        </w:rPr>
        <w:t xml:space="preserve"> International Journal of Academic Accounting, Finance &amp; Management Research, 3</w:t>
      </w:r>
      <w:r w:rsidR="00A21FFF" w:rsidRPr="00A21FFF">
        <w:rPr>
          <w:rFonts w:ascii="Times New Roman" w:hAnsi="Times New Roman" w:cs="Times New Roman"/>
          <w:sz w:val="20"/>
          <w:szCs w:val="20"/>
        </w:rPr>
        <w:t xml:space="preserve">(4) 10–20. </w:t>
      </w:r>
    </w:p>
    <w:p w:rsidR="00A21FFF" w:rsidRPr="00A21FFF" w:rsidRDefault="00C05439" w:rsidP="00A21FFF">
      <w:pPr>
        <w:pStyle w:val="NoSpacing"/>
        <w:ind w:left="567" w:hanging="567"/>
        <w:jc w:val="both"/>
        <w:rPr>
          <w:rFonts w:ascii="Times New Roman" w:hAnsi="Times New Roman" w:cs="Times New Roman"/>
          <w:sz w:val="20"/>
          <w:szCs w:val="20"/>
        </w:rPr>
      </w:pPr>
      <w:r>
        <w:rPr>
          <w:rFonts w:ascii="Times New Roman" w:hAnsi="Times New Roman" w:cs="Times New Roman"/>
          <w:sz w:val="20"/>
          <w:szCs w:val="20"/>
        </w:rPr>
        <w:t>[18]</w:t>
      </w:r>
      <w:r>
        <w:rPr>
          <w:rFonts w:ascii="Times New Roman" w:hAnsi="Times New Roman" w:cs="Times New Roman"/>
          <w:sz w:val="20"/>
          <w:szCs w:val="20"/>
        </w:rPr>
        <w:tab/>
      </w:r>
      <w:r w:rsidR="00A21FFF" w:rsidRPr="00A21FFF">
        <w:rPr>
          <w:rFonts w:ascii="Times New Roman" w:hAnsi="Times New Roman" w:cs="Times New Roman"/>
          <w:sz w:val="20"/>
          <w:szCs w:val="20"/>
        </w:rPr>
        <w:t xml:space="preserve">Khan, Nadeem Akhtar (2014). The Impact of Micro Finance on the Household Income and Consumption level in </w:t>
      </w:r>
      <w:proofErr w:type="spellStart"/>
      <w:r w:rsidR="00A21FFF" w:rsidRPr="00A21FFF">
        <w:rPr>
          <w:rFonts w:ascii="Times New Roman" w:hAnsi="Times New Roman" w:cs="Times New Roman"/>
          <w:sz w:val="20"/>
          <w:szCs w:val="20"/>
        </w:rPr>
        <w:t>Danyore</w:t>
      </w:r>
      <w:proofErr w:type="spellEnd"/>
      <w:r w:rsidR="00A21FFF" w:rsidRPr="00A21FFF">
        <w:rPr>
          <w:rFonts w:ascii="Times New Roman" w:hAnsi="Times New Roman" w:cs="Times New Roman"/>
          <w:sz w:val="20"/>
          <w:szCs w:val="20"/>
        </w:rPr>
        <w:t xml:space="preserve">, </w:t>
      </w:r>
      <w:proofErr w:type="spellStart"/>
      <w:r w:rsidR="00A21FFF" w:rsidRPr="00A21FFF">
        <w:rPr>
          <w:rFonts w:ascii="Times New Roman" w:hAnsi="Times New Roman" w:cs="Times New Roman"/>
          <w:sz w:val="20"/>
          <w:szCs w:val="20"/>
        </w:rPr>
        <w:t>Gilgit</w:t>
      </w:r>
      <w:proofErr w:type="spellEnd"/>
      <w:r w:rsidR="00A21FFF" w:rsidRPr="00A21FFF">
        <w:rPr>
          <w:rFonts w:ascii="Times New Roman" w:hAnsi="Times New Roman" w:cs="Times New Roman"/>
          <w:sz w:val="20"/>
          <w:szCs w:val="20"/>
        </w:rPr>
        <w:t xml:space="preserve">-Baltistan Pakistan, </w:t>
      </w:r>
      <w:r w:rsidR="00A21FFF" w:rsidRPr="00A21FFF">
        <w:rPr>
          <w:rFonts w:ascii="Times New Roman" w:hAnsi="Times New Roman" w:cs="Times New Roman"/>
          <w:i/>
          <w:sz w:val="20"/>
          <w:szCs w:val="20"/>
        </w:rPr>
        <w:t>International Journal of Academic Research in Economics and Management Sciences, 3</w:t>
      </w:r>
      <w:r w:rsidR="00A21FFF" w:rsidRPr="00A21FFF">
        <w:rPr>
          <w:rFonts w:ascii="Times New Roman" w:hAnsi="Times New Roman" w:cs="Times New Roman"/>
          <w:sz w:val="20"/>
          <w:szCs w:val="20"/>
        </w:rPr>
        <w:t>(1), 180 - 195.</w:t>
      </w:r>
    </w:p>
    <w:p w:rsidR="00A21FFF" w:rsidRPr="00A21FFF" w:rsidRDefault="00C05439" w:rsidP="00A21FFF">
      <w:pPr>
        <w:pStyle w:val="NoSpacing"/>
        <w:ind w:left="567" w:hanging="567"/>
        <w:jc w:val="both"/>
        <w:rPr>
          <w:rFonts w:ascii="Times New Roman" w:hAnsi="Times New Roman" w:cs="Times New Roman"/>
          <w:bCs/>
          <w:sz w:val="20"/>
          <w:szCs w:val="20"/>
          <w:lang w:val="en-GB"/>
        </w:rPr>
      </w:pPr>
      <w:r>
        <w:rPr>
          <w:rFonts w:ascii="Times New Roman" w:hAnsi="Times New Roman" w:cs="Times New Roman"/>
          <w:bCs/>
          <w:sz w:val="20"/>
          <w:szCs w:val="20"/>
          <w:lang w:val="en-GB"/>
        </w:rPr>
        <w:t>[19]</w:t>
      </w:r>
      <w:r>
        <w:rPr>
          <w:rFonts w:ascii="Times New Roman" w:hAnsi="Times New Roman" w:cs="Times New Roman"/>
          <w:bCs/>
          <w:sz w:val="20"/>
          <w:szCs w:val="20"/>
          <w:lang w:val="en-GB"/>
        </w:rPr>
        <w:tab/>
      </w:r>
      <w:proofErr w:type="spellStart"/>
      <w:r w:rsidR="00A21FFF" w:rsidRPr="00A21FFF">
        <w:rPr>
          <w:rFonts w:ascii="Times New Roman" w:hAnsi="Times New Roman" w:cs="Times New Roman"/>
          <w:bCs/>
          <w:sz w:val="20"/>
          <w:szCs w:val="20"/>
          <w:lang w:val="en-GB"/>
        </w:rPr>
        <w:t>Kofarmata</w:t>
      </w:r>
      <w:proofErr w:type="spellEnd"/>
      <w:r w:rsidR="00A21FFF" w:rsidRPr="00A21FFF">
        <w:rPr>
          <w:rFonts w:ascii="Times New Roman" w:hAnsi="Times New Roman" w:cs="Times New Roman"/>
          <w:bCs/>
          <w:sz w:val="20"/>
          <w:szCs w:val="20"/>
          <w:lang w:val="en-GB"/>
        </w:rPr>
        <w:t>, Y. I. &amp;</w:t>
      </w:r>
      <w:proofErr w:type="spellStart"/>
      <w:r w:rsidR="00A21FFF" w:rsidRPr="00A21FFF">
        <w:rPr>
          <w:rFonts w:ascii="Times New Roman" w:hAnsi="Times New Roman" w:cs="Times New Roman"/>
          <w:sz w:val="20"/>
          <w:szCs w:val="20"/>
          <w:lang w:val="en-GB"/>
        </w:rPr>
        <w:t>Danlami</w:t>
      </w:r>
      <w:proofErr w:type="spellEnd"/>
      <w:r w:rsidR="00A21FFF" w:rsidRPr="00A21FFF">
        <w:rPr>
          <w:rFonts w:ascii="Times New Roman" w:hAnsi="Times New Roman" w:cs="Times New Roman"/>
          <w:sz w:val="20"/>
          <w:szCs w:val="20"/>
          <w:lang w:val="en-GB"/>
        </w:rPr>
        <w:t>, A.H. (2021).</w:t>
      </w:r>
      <w:r w:rsidR="00A21FFF" w:rsidRPr="00A21FFF">
        <w:rPr>
          <w:rFonts w:ascii="Times New Roman" w:hAnsi="Times New Roman" w:cs="Times New Roman"/>
          <w:sz w:val="20"/>
          <w:szCs w:val="20"/>
        </w:rPr>
        <w:t xml:space="preserve">A micro level analysis of the intensity of agricultural finance supply in Nigeria: empirical evidence. </w:t>
      </w:r>
      <w:r w:rsidR="00A21FFF" w:rsidRPr="00A21FFF">
        <w:rPr>
          <w:rFonts w:ascii="Times New Roman" w:hAnsi="Times New Roman" w:cs="Times New Roman"/>
          <w:i/>
          <w:sz w:val="20"/>
          <w:szCs w:val="20"/>
        </w:rPr>
        <w:t>SN Business &amp; Economics, 1</w:t>
      </w:r>
      <w:r w:rsidR="00A21FFF" w:rsidRPr="00A21FFF">
        <w:rPr>
          <w:rFonts w:ascii="Times New Roman" w:hAnsi="Times New Roman" w:cs="Times New Roman"/>
          <w:sz w:val="20"/>
          <w:szCs w:val="20"/>
        </w:rPr>
        <w:t xml:space="preserve">(12), 1 – 17. </w:t>
      </w:r>
      <w:hyperlink r:id="rId8" w:history="1">
        <w:r w:rsidR="00A21FFF" w:rsidRPr="00A21FFF">
          <w:rPr>
            <w:rStyle w:val="Hyperlink"/>
            <w:rFonts w:ascii="Times New Roman" w:hAnsi="Times New Roman" w:cs="Times New Roman"/>
            <w:sz w:val="20"/>
            <w:szCs w:val="20"/>
          </w:rPr>
          <w:t>http://doi.org/10.1007/s43546-020-00011-y</w:t>
        </w:r>
      </w:hyperlink>
      <w:r w:rsidR="00A21FFF" w:rsidRPr="00A21FFF">
        <w:rPr>
          <w:rFonts w:ascii="Times New Roman" w:hAnsi="Times New Roman" w:cs="Times New Roman"/>
          <w:sz w:val="20"/>
          <w:szCs w:val="20"/>
        </w:rPr>
        <w:t xml:space="preserve">   </w:t>
      </w:r>
    </w:p>
    <w:p w:rsidR="00A21FFF" w:rsidRPr="00A21FFF" w:rsidRDefault="00C05439" w:rsidP="00A21FFF">
      <w:pPr>
        <w:pStyle w:val="NoSpacing"/>
        <w:ind w:left="567" w:hanging="567"/>
        <w:jc w:val="both"/>
        <w:rPr>
          <w:rFonts w:ascii="Times New Roman" w:hAnsi="Times New Roman" w:cs="Times New Roman"/>
          <w:sz w:val="20"/>
          <w:szCs w:val="20"/>
        </w:rPr>
      </w:pPr>
      <w:r>
        <w:rPr>
          <w:rFonts w:ascii="Times New Roman" w:hAnsi="Times New Roman" w:cs="Times New Roman"/>
          <w:bCs/>
          <w:sz w:val="20"/>
          <w:szCs w:val="20"/>
          <w:lang w:val="en-GB"/>
        </w:rPr>
        <w:t>[20]</w:t>
      </w:r>
      <w:r>
        <w:rPr>
          <w:rFonts w:ascii="Times New Roman" w:hAnsi="Times New Roman" w:cs="Times New Roman"/>
          <w:bCs/>
          <w:sz w:val="20"/>
          <w:szCs w:val="20"/>
          <w:lang w:val="en-GB"/>
        </w:rPr>
        <w:tab/>
      </w:r>
      <w:proofErr w:type="spellStart"/>
      <w:r w:rsidR="00A21FFF" w:rsidRPr="00A21FFF">
        <w:rPr>
          <w:rFonts w:ascii="Times New Roman" w:hAnsi="Times New Roman" w:cs="Times New Roman"/>
          <w:bCs/>
          <w:sz w:val="20"/>
          <w:szCs w:val="20"/>
          <w:lang w:val="en-GB"/>
        </w:rPr>
        <w:t>Kofarmata</w:t>
      </w:r>
      <w:proofErr w:type="spellEnd"/>
      <w:r w:rsidR="00A21FFF" w:rsidRPr="00A21FFF">
        <w:rPr>
          <w:rFonts w:ascii="Times New Roman" w:hAnsi="Times New Roman" w:cs="Times New Roman"/>
          <w:bCs/>
          <w:sz w:val="20"/>
          <w:szCs w:val="20"/>
          <w:lang w:val="en-GB"/>
        </w:rPr>
        <w:t>, Y. I. &amp;</w:t>
      </w:r>
      <w:proofErr w:type="spellStart"/>
      <w:r w:rsidR="00A21FFF" w:rsidRPr="00A21FFF">
        <w:rPr>
          <w:rFonts w:ascii="Times New Roman" w:hAnsi="Times New Roman" w:cs="Times New Roman"/>
          <w:sz w:val="20"/>
          <w:szCs w:val="20"/>
          <w:lang w:val="en-GB"/>
        </w:rPr>
        <w:t>Danlami</w:t>
      </w:r>
      <w:proofErr w:type="spellEnd"/>
      <w:r w:rsidR="00A21FFF" w:rsidRPr="00A21FFF">
        <w:rPr>
          <w:rFonts w:ascii="Times New Roman" w:hAnsi="Times New Roman" w:cs="Times New Roman"/>
          <w:sz w:val="20"/>
          <w:szCs w:val="20"/>
          <w:lang w:val="en-GB"/>
        </w:rPr>
        <w:t xml:space="preserve">, A.H. (2019). Determinants of credit rationing among rural farmers in developing areas: empirical evidence based on micro level data. </w:t>
      </w:r>
      <w:r w:rsidR="00A21FFF" w:rsidRPr="00A21FFF">
        <w:rPr>
          <w:rFonts w:ascii="Times New Roman" w:hAnsi="Times New Roman" w:cs="Times New Roman"/>
          <w:i/>
          <w:sz w:val="20"/>
          <w:szCs w:val="20"/>
          <w:lang w:val="en-GB"/>
        </w:rPr>
        <w:t>Agricultural Finance Review</w:t>
      </w:r>
      <w:proofErr w:type="gramStart"/>
      <w:r w:rsidR="00A21FFF" w:rsidRPr="00A21FFF">
        <w:rPr>
          <w:rFonts w:ascii="Times New Roman" w:hAnsi="Times New Roman" w:cs="Times New Roman"/>
          <w:i/>
          <w:sz w:val="20"/>
          <w:szCs w:val="20"/>
          <w:lang w:val="en-GB"/>
        </w:rPr>
        <w:t>,</w:t>
      </w:r>
      <w:r w:rsidR="00A21FFF" w:rsidRPr="00A21FFF">
        <w:rPr>
          <w:rFonts w:ascii="Times New Roman" w:hAnsi="Times New Roman" w:cs="Times New Roman"/>
          <w:i/>
          <w:sz w:val="20"/>
          <w:szCs w:val="20"/>
        </w:rPr>
        <w:t>79</w:t>
      </w:r>
      <w:proofErr w:type="gramEnd"/>
      <w:r w:rsidR="00A21FFF" w:rsidRPr="00A21FFF">
        <w:rPr>
          <w:rFonts w:ascii="Times New Roman" w:hAnsi="Times New Roman" w:cs="Times New Roman"/>
          <w:sz w:val="20"/>
          <w:szCs w:val="20"/>
        </w:rPr>
        <w:t>(2), 158–173.</w:t>
      </w:r>
    </w:p>
    <w:p w:rsidR="00A21FFF" w:rsidRPr="00A21FFF" w:rsidRDefault="00C05439" w:rsidP="00A21FFF">
      <w:pPr>
        <w:pStyle w:val="NoSpacing"/>
        <w:ind w:left="567" w:hanging="567"/>
        <w:jc w:val="both"/>
        <w:rPr>
          <w:rFonts w:ascii="Times New Roman" w:hAnsi="Times New Roman" w:cs="Times New Roman"/>
          <w:sz w:val="20"/>
          <w:szCs w:val="20"/>
        </w:rPr>
      </w:pPr>
      <w:bookmarkStart w:id="8" w:name="_ENREF_32"/>
      <w:bookmarkStart w:id="9" w:name="_ENREF_30"/>
      <w:r>
        <w:rPr>
          <w:rFonts w:ascii="Times New Roman" w:hAnsi="Times New Roman" w:cs="Times New Roman"/>
          <w:sz w:val="20"/>
          <w:szCs w:val="20"/>
        </w:rPr>
        <w:t>[21]</w:t>
      </w:r>
      <w:r>
        <w:rPr>
          <w:rFonts w:ascii="Times New Roman" w:hAnsi="Times New Roman" w:cs="Times New Roman"/>
          <w:sz w:val="20"/>
          <w:szCs w:val="20"/>
        </w:rPr>
        <w:tab/>
      </w:r>
      <w:r w:rsidR="00A21FFF" w:rsidRPr="00A21FFF">
        <w:rPr>
          <w:rFonts w:ascii="Times New Roman" w:hAnsi="Times New Roman" w:cs="Times New Roman"/>
          <w:sz w:val="20"/>
          <w:szCs w:val="20"/>
        </w:rPr>
        <w:t xml:space="preserve">Larry, A.O. (2016). Non-interest financing: A tool for poverty alleviation in Nigeria. </w:t>
      </w:r>
      <w:r w:rsidR="00A21FFF" w:rsidRPr="00A21FFF">
        <w:rPr>
          <w:rFonts w:ascii="Times New Roman" w:hAnsi="Times New Roman" w:cs="Times New Roman"/>
          <w:i/>
          <w:iCs/>
          <w:sz w:val="20"/>
          <w:szCs w:val="20"/>
        </w:rPr>
        <w:t>International Journal of Innovative Research in Social Sciences and Strategic Management Strategies, 3</w:t>
      </w:r>
      <w:r w:rsidR="00A21FFF" w:rsidRPr="00A21FFF">
        <w:rPr>
          <w:rFonts w:ascii="Times New Roman" w:hAnsi="Times New Roman" w:cs="Times New Roman"/>
          <w:sz w:val="20"/>
          <w:szCs w:val="20"/>
        </w:rPr>
        <w:t xml:space="preserve">(1), 60–70. </w:t>
      </w:r>
    </w:p>
    <w:p w:rsidR="00A21FFF" w:rsidRPr="00A21FFF" w:rsidRDefault="00C05439" w:rsidP="00A21FFF">
      <w:pPr>
        <w:pStyle w:val="NoSpacing"/>
        <w:ind w:left="567" w:hanging="567"/>
        <w:jc w:val="both"/>
        <w:rPr>
          <w:rFonts w:ascii="Times New Roman" w:hAnsi="Times New Roman" w:cs="Times New Roman"/>
          <w:noProof/>
          <w:sz w:val="20"/>
          <w:szCs w:val="20"/>
        </w:rPr>
      </w:pPr>
      <w:r>
        <w:rPr>
          <w:rFonts w:ascii="Times New Roman" w:hAnsi="Times New Roman" w:cs="Times New Roman"/>
          <w:noProof/>
          <w:sz w:val="20"/>
          <w:szCs w:val="20"/>
        </w:rPr>
        <w:t>[22]</w:t>
      </w:r>
      <w:r>
        <w:rPr>
          <w:rFonts w:ascii="Times New Roman" w:hAnsi="Times New Roman" w:cs="Times New Roman"/>
          <w:noProof/>
          <w:sz w:val="20"/>
          <w:szCs w:val="20"/>
        </w:rPr>
        <w:tab/>
      </w:r>
      <w:r w:rsidR="00A21FFF" w:rsidRPr="00A21FFF">
        <w:rPr>
          <w:rFonts w:ascii="Times New Roman" w:hAnsi="Times New Roman" w:cs="Times New Roman"/>
          <w:noProof/>
          <w:sz w:val="20"/>
          <w:szCs w:val="20"/>
        </w:rPr>
        <w:t xml:space="preserve">Miazur, R. M. (2010). Islamic micro-finance programme and its impact on rural poverty alleviation. </w:t>
      </w:r>
      <w:r w:rsidR="00A21FFF" w:rsidRPr="00A21FFF">
        <w:rPr>
          <w:rFonts w:ascii="Times New Roman" w:hAnsi="Times New Roman" w:cs="Times New Roman"/>
          <w:i/>
          <w:noProof/>
          <w:sz w:val="20"/>
          <w:szCs w:val="20"/>
        </w:rPr>
        <w:t>International Journal of Banking and Finance,7</w:t>
      </w:r>
      <w:r w:rsidR="00A21FFF" w:rsidRPr="00A21FFF">
        <w:rPr>
          <w:rFonts w:ascii="Times New Roman" w:hAnsi="Times New Roman" w:cs="Times New Roman"/>
          <w:noProof/>
          <w:sz w:val="20"/>
          <w:szCs w:val="20"/>
        </w:rPr>
        <w:t xml:space="preserve">(1), Article 7. </w:t>
      </w:r>
      <w:hyperlink r:id="rId9" w:history="1">
        <w:r w:rsidR="00A21FFF" w:rsidRPr="00A21FFF">
          <w:rPr>
            <w:rStyle w:val="Hyperlink"/>
            <w:rFonts w:ascii="Times New Roman" w:hAnsi="Times New Roman" w:cs="Times New Roman"/>
            <w:noProof/>
            <w:sz w:val="20"/>
            <w:szCs w:val="20"/>
          </w:rPr>
          <w:t>http://epublications.bond.edu.au/ijbf/vol7/iss1/7</w:t>
        </w:r>
      </w:hyperlink>
      <w:bookmarkEnd w:id="8"/>
      <w:bookmarkEnd w:id="9"/>
      <w:r w:rsidR="00A21FFF" w:rsidRPr="00A21FFF">
        <w:rPr>
          <w:rFonts w:ascii="Times New Roman" w:hAnsi="Times New Roman" w:cs="Times New Roman"/>
          <w:noProof/>
          <w:sz w:val="20"/>
          <w:szCs w:val="20"/>
        </w:rPr>
        <w:t xml:space="preserve"> </w:t>
      </w:r>
    </w:p>
    <w:p w:rsidR="00A21FFF" w:rsidRPr="00A21FFF" w:rsidRDefault="00C05439" w:rsidP="00A21FFF">
      <w:pPr>
        <w:pStyle w:val="NoSpacing"/>
        <w:ind w:left="567" w:hanging="567"/>
        <w:jc w:val="both"/>
        <w:rPr>
          <w:rFonts w:ascii="Times New Roman" w:hAnsi="Times New Roman" w:cs="Times New Roman"/>
          <w:sz w:val="20"/>
          <w:szCs w:val="20"/>
        </w:rPr>
      </w:pPr>
      <w:r>
        <w:rPr>
          <w:rFonts w:ascii="Times New Roman" w:hAnsi="Times New Roman" w:cs="Times New Roman"/>
          <w:sz w:val="20"/>
          <w:szCs w:val="20"/>
        </w:rPr>
        <w:t>[23]</w:t>
      </w:r>
      <w:r>
        <w:rPr>
          <w:rFonts w:ascii="Times New Roman" w:hAnsi="Times New Roman" w:cs="Times New Roman"/>
          <w:sz w:val="20"/>
          <w:szCs w:val="20"/>
        </w:rPr>
        <w:tab/>
      </w:r>
      <w:proofErr w:type="spellStart"/>
      <w:r w:rsidR="00A21FFF" w:rsidRPr="00A21FFF">
        <w:rPr>
          <w:rFonts w:ascii="Times New Roman" w:hAnsi="Times New Roman" w:cs="Times New Roman"/>
          <w:sz w:val="20"/>
          <w:szCs w:val="20"/>
        </w:rPr>
        <w:t>Mirach</w:t>
      </w:r>
      <w:proofErr w:type="spellEnd"/>
      <w:r w:rsidR="00A21FFF" w:rsidRPr="00A21FFF">
        <w:rPr>
          <w:rFonts w:ascii="Times New Roman" w:hAnsi="Times New Roman" w:cs="Times New Roman"/>
          <w:sz w:val="20"/>
          <w:szCs w:val="20"/>
        </w:rPr>
        <w:t xml:space="preserve">, T., H., &amp; </w:t>
      </w:r>
      <w:proofErr w:type="spellStart"/>
      <w:r w:rsidR="00A21FFF" w:rsidRPr="00A21FFF">
        <w:rPr>
          <w:rFonts w:ascii="Times New Roman" w:hAnsi="Times New Roman" w:cs="Times New Roman"/>
          <w:sz w:val="20"/>
          <w:szCs w:val="20"/>
        </w:rPr>
        <w:t>Hailu</w:t>
      </w:r>
      <w:proofErr w:type="spellEnd"/>
      <w:r w:rsidR="00A21FFF" w:rsidRPr="00A21FFF">
        <w:rPr>
          <w:rFonts w:ascii="Times New Roman" w:hAnsi="Times New Roman" w:cs="Times New Roman"/>
          <w:sz w:val="20"/>
          <w:szCs w:val="20"/>
        </w:rPr>
        <w:t>, Y.M.</w:t>
      </w:r>
      <w:r w:rsidR="00A21FFF" w:rsidRPr="00A21FFF">
        <w:rPr>
          <w:rFonts w:ascii="Times New Roman" w:hAnsi="Times New Roman" w:cs="Times New Roman"/>
          <w:b/>
          <w:bCs/>
          <w:sz w:val="20"/>
          <w:szCs w:val="20"/>
        </w:rPr>
        <w:t xml:space="preserve"> </w:t>
      </w:r>
      <w:r w:rsidR="00A21FFF" w:rsidRPr="00A21FFF">
        <w:rPr>
          <w:rFonts w:ascii="Times New Roman" w:hAnsi="Times New Roman" w:cs="Times New Roman"/>
          <w:sz w:val="20"/>
          <w:szCs w:val="20"/>
        </w:rPr>
        <w:t xml:space="preserve">(2014). Determinant of household saving in Ethiopia: A case of North Gondar Zone, Amhara Regional State. </w:t>
      </w:r>
      <w:r w:rsidR="00A21FFF" w:rsidRPr="00A21FFF">
        <w:rPr>
          <w:rFonts w:ascii="Times New Roman" w:hAnsi="Times New Roman" w:cs="Times New Roman"/>
          <w:i/>
          <w:iCs/>
          <w:sz w:val="20"/>
          <w:szCs w:val="20"/>
        </w:rPr>
        <w:t>International Journal of Development and Economic Sustainability</w:t>
      </w:r>
      <w:proofErr w:type="gramStart"/>
      <w:r w:rsidR="00A21FFF" w:rsidRPr="00A21FFF">
        <w:rPr>
          <w:rFonts w:ascii="Times New Roman" w:hAnsi="Times New Roman" w:cs="Times New Roman"/>
          <w:i/>
          <w:iCs/>
          <w:sz w:val="20"/>
          <w:szCs w:val="20"/>
        </w:rPr>
        <w:t>,2</w:t>
      </w:r>
      <w:proofErr w:type="gramEnd"/>
      <w:r w:rsidR="00A21FFF" w:rsidRPr="00A21FFF">
        <w:rPr>
          <w:rFonts w:ascii="Times New Roman" w:hAnsi="Times New Roman" w:cs="Times New Roman"/>
          <w:sz w:val="20"/>
          <w:szCs w:val="20"/>
        </w:rPr>
        <w:t>(4), 37–49.</w:t>
      </w:r>
    </w:p>
    <w:p w:rsidR="00C05439" w:rsidRDefault="00C05439" w:rsidP="00C05439">
      <w:pPr>
        <w:pStyle w:val="NoSpacing"/>
        <w:ind w:left="567" w:hanging="567"/>
        <w:jc w:val="both"/>
        <w:rPr>
          <w:rFonts w:ascii="Times New Roman" w:hAnsi="Times New Roman" w:cs="Times New Roman"/>
          <w:sz w:val="20"/>
          <w:szCs w:val="20"/>
        </w:rPr>
      </w:pPr>
      <w:r>
        <w:rPr>
          <w:rFonts w:ascii="Times New Roman" w:hAnsi="Times New Roman" w:cs="Times New Roman"/>
          <w:sz w:val="20"/>
          <w:szCs w:val="20"/>
        </w:rPr>
        <w:t>[24]</w:t>
      </w:r>
      <w:r>
        <w:rPr>
          <w:rFonts w:ascii="Times New Roman" w:hAnsi="Times New Roman" w:cs="Times New Roman"/>
          <w:sz w:val="20"/>
          <w:szCs w:val="20"/>
        </w:rPr>
        <w:tab/>
      </w:r>
      <w:r w:rsidR="00A21FFF" w:rsidRPr="00A21FFF">
        <w:rPr>
          <w:rFonts w:ascii="Times New Roman" w:hAnsi="Times New Roman" w:cs="Times New Roman"/>
          <w:sz w:val="20"/>
          <w:szCs w:val="20"/>
        </w:rPr>
        <w:t xml:space="preserve">National Bureau of Statistics (NBS) (2020). </w:t>
      </w:r>
      <w:proofErr w:type="gramStart"/>
      <w:r w:rsidR="00A21FFF" w:rsidRPr="00A21FFF">
        <w:rPr>
          <w:rFonts w:ascii="Times New Roman" w:hAnsi="Times New Roman" w:cs="Times New Roman"/>
          <w:sz w:val="20"/>
          <w:szCs w:val="20"/>
        </w:rPr>
        <w:t>Nigeria living standard survey.</w:t>
      </w:r>
      <w:proofErr w:type="gramEnd"/>
      <w:r w:rsidR="00A21FFF" w:rsidRPr="00A21FFF">
        <w:rPr>
          <w:rFonts w:ascii="Times New Roman" w:hAnsi="Times New Roman" w:cs="Times New Roman"/>
          <w:sz w:val="20"/>
          <w:szCs w:val="20"/>
        </w:rPr>
        <w:t xml:space="preserve"> </w:t>
      </w:r>
      <w:proofErr w:type="gramStart"/>
      <w:r w:rsidR="00A21FFF" w:rsidRPr="00A21FFF">
        <w:rPr>
          <w:rFonts w:ascii="Times New Roman" w:hAnsi="Times New Roman" w:cs="Times New Roman"/>
          <w:sz w:val="20"/>
          <w:szCs w:val="20"/>
        </w:rPr>
        <w:t>A survey report by the Nigerian National Bureau of Statistics.</w:t>
      </w:r>
      <w:proofErr w:type="gramEnd"/>
    </w:p>
    <w:p w:rsidR="00A21FFF" w:rsidRPr="00C05439" w:rsidRDefault="00C05439" w:rsidP="00C05439">
      <w:pPr>
        <w:pStyle w:val="NoSpacing"/>
        <w:ind w:left="567" w:hanging="567"/>
        <w:jc w:val="both"/>
        <w:rPr>
          <w:rFonts w:ascii="Times New Roman" w:hAnsi="Times New Roman" w:cs="Times New Roman"/>
          <w:noProof/>
          <w:sz w:val="18"/>
          <w:szCs w:val="20"/>
        </w:rPr>
      </w:pPr>
      <w:r>
        <w:rPr>
          <w:rFonts w:ascii="Times New Roman" w:hAnsi="Times New Roman" w:cs="Times New Roman"/>
          <w:sz w:val="20"/>
          <w:szCs w:val="20"/>
        </w:rPr>
        <w:t>[25]</w:t>
      </w:r>
      <w:r>
        <w:rPr>
          <w:rFonts w:ascii="Times New Roman" w:hAnsi="Times New Roman" w:cs="Times New Roman"/>
          <w:sz w:val="20"/>
          <w:szCs w:val="20"/>
        </w:rPr>
        <w:tab/>
      </w:r>
      <w:r w:rsidR="00A21FFF" w:rsidRPr="00C05439">
        <w:rPr>
          <w:rFonts w:ascii="Times New Roman" w:hAnsi="Times New Roman" w:cs="Times New Roman"/>
          <w:sz w:val="20"/>
        </w:rPr>
        <w:t>Zaman, A. (2001). Interest and the modern economy.</w:t>
      </w:r>
      <w:r w:rsidR="00A21FFF" w:rsidRPr="00C05439">
        <w:rPr>
          <w:rFonts w:ascii="Times New Roman" w:hAnsi="Times New Roman" w:cs="Times New Roman"/>
          <w:i/>
          <w:sz w:val="20"/>
        </w:rPr>
        <w:t>The Lahore Journal of Economics,</w:t>
      </w:r>
      <w:r w:rsidR="00A21FFF" w:rsidRPr="00C05439">
        <w:rPr>
          <w:rFonts w:ascii="Times New Roman" w:hAnsi="Times New Roman" w:cs="Times New Roman"/>
          <w:i/>
          <w:iCs/>
          <w:sz w:val="20"/>
        </w:rPr>
        <w:t>6</w:t>
      </w:r>
      <w:r w:rsidR="00A21FFF" w:rsidRPr="00C05439">
        <w:rPr>
          <w:rFonts w:ascii="Times New Roman" w:hAnsi="Times New Roman" w:cs="Times New Roman"/>
          <w:sz w:val="20"/>
        </w:rPr>
        <w:t>(1),</w:t>
      </w:r>
    </w:p>
    <w:sectPr w:rsidR="00A21FFF" w:rsidRPr="00C05439" w:rsidSect="00921457">
      <w:footerReference w:type="default" r:id="rId10"/>
      <w:footerReference w:type="first" r:id="rId11"/>
      <w:pgSz w:w="11907" w:h="16840"/>
      <w:pgMar w:top="1440" w:right="1080" w:bottom="1440" w:left="1080" w:header="709" w:footer="709" w:gutter="0"/>
      <w:pgNumType w:start="1"/>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6E3" w:rsidRDefault="00C156E3">
      <w:r>
        <w:separator/>
      </w:r>
    </w:p>
  </w:endnote>
  <w:endnote w:type="continuationSeparator" w:id="0">
    <w:p w:rsidR="00C156E3" w:rsidRDefault="00C15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60405020304"/>
    <w:charset w:val="00"/>
    <w:family w:val="roman"/>
    <w:pitch w:val="variable"/>
    <w:sig w:usb0="00000007" w:usb1="00000000"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457" w:rsidRDefault="00C05439">
    <w:pPr>
      <w:jc w:val="both"/>
    </w:pPr>
    <w:r w:rsidRPr="00167385">
      <w:rPr>
        <w:b/>
        <w:i/>
        <w:iCs/>
        <w:sz w:val="18"/>
        <w:szCs w:val="16"/>
      </w:rPr>
      <w:t>American University of Nigeria, 2</w:t>
    </w:r>
    <w:r w:rsidRPr="00167385">
      <w:rPr>
        <w:b/>
        <w:i/>
        <w:iCs/>
        <w:sz w:val="18"/>
        <w:szCs w:val="16"/>
        <w:vertAlign w:val="superscript"/>
      </w:rPr>
      <w:t xml:space="preserve">nd </w:t>
    </w:r>
    <w:r w:rsidRPr="00167385">
      <w:rPr>
        <w:b/>
        <w:i/>
        <w:iCs/>
        <w:sz w:val="12"/>
        <w:szCs w:val="10"/>
      </w:rPr>
      <w:t xml:space="preserve"> </w:t>
    </w:r>
    <w:r w:rsidRPr="00167385">
      <w:rPr>
        <w:b/>
        <w:i/>
        <w:iCs/>
        <w:sz w:val="18"/>
        <w:szCs w:val="16"/>
      </w:rPr>
      <w:t>International Conference Proceeding, November 6-9, 2024, e-ISSN: 3027-0650</w:t>
    </w:r>
  </w:p>
  <w:p w:rsidR="00921457" w:rsidRDefault="00921457">
    <w:pPr>
      <w:jc w:val="both"/>
    </w:pPr>
  </w:p>
  <w:p w:rsidR="00921457" w:rsidRDefault="00921457">
    <w:pPr>
      <w:jc w:val="both"/>
    </w:pPr>
  </w:p>
  <w:p w:rsidR="00921457" w:rsidRDefault="00921457">
    <w:pP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EDF" w:rsidRPr="00562EDF" w:rsidRDefault="00562EDF" w:rsidP="00562EDF">
    <w:pPr>
      <w:spacing w:after="120"/>
      <w:ind w:right="-153"/>
      <w:jc w:val="center"/>
      <w:rPr>
        <w:rFonts w:eastAsia="Times"/>
        <w:b/>
      </w:rPr>
    </w:pPr>
    <w:r w:rsidRPr="00562EDF">
      <w:rPr>
        <w:b/>
        <w:i/>
        <w:iCs/>
      </w:rPr>
      <w:t>American University of Nigeria, 2</w:t>
    </w:r>
    <w:r w:rsidRPr="00562EDF">
      <w:rPr>
        <w:b/>
        <w:i/>
        <w:iCs/>
        <w:vertAlign w:val="superscript"/>
      </w:rPr>
      <w:t xml:space="preserve">nd </w:t>
    </w:r>
    <w:r w:rsidRPr="00562EDF">
      <w:rPr>
        <w:b/>
        <w:i/>
        <w:iCs/>
      </w:rPr>
      <w:t>International Conference Proceeding, November 6-9, 2024, e-ISSN: 3027-0650</w:t>
    </w:r>
  </w:p>
  <w:p w:rsidR="00562EDF" w:rsidRDefault="00562E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6E3" w:rsidRDefault="00C156E3">
      <w:r>
        <w:separator/>
      </w:r>
    </w:p>
  </w:footnote>
  <w:footnote w:type="continuationSeparator" w:id="0">
    <w:p w:rsidR="00C156E3" w:rsidRDefault="00C156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A7261"/>
    <w:multiLevelType w:val="hybridMultilevel"/>
    <w:tmpl w:val="837A5F20"/>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E1C6E"/>
    <w:multiLevelType w:val="multilevel"/>
    <w:tmpl w:val="A02896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FD06F15"/>
    <w:multiLevelType w:val="multilevel"/>
    <w:tmpl w:val="79869B6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45D36CBE"/>
    <w:multiLevelType w:val="multilevel"/>
    <w:tmpl w:val="E4B8F84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6F892BF3"/>
    <w:multiLevelType w:val="hybridMultilevel"/>
    <w:tmpl w:val="482C4920"/>
    <w:lvl w:ilvl="0" w:tplc="BE7E6AE8">
      <w:start w:val="1"/>
      <w:numFmt w:val="decimal"/>
      <w:pStyle w:val="ICST-References"/>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zMwNTSyMDcwsTC2NLdU0lEKTi0uzszPAykwqgUAT4bXWSwAAAA="/>
  </w:docVars>
  <w:rsids>
    <w:rsidRoot w:val="00274BE6"/>
    <w:rsid w:val="00071384"/>
    <w:rsid w:val="00097C18"/>
    <w:rsid w:val="000E432E"/>
    <w:rsid w:val="00111DC4"/>
    <w:rsid w:val="001263DC"/>
    <w:rsid w:val="001920AD"/>
    <w:rsid w:val="001D4DF2"/>
    <w:rsid w:val="00235403"/>
    <w:rsid w:val="00274BE6"/>
    <w:rsid w:val="002E0DFB"/>
    <w:rsid w:val="00340930"/>
    <w:rsid w:val="00380129"/>
    <w:rsid w:val="00396A41"/>
    <w:rsid w:val="003F76D5"/>
    <w:rsid w:val="0042530D"/>
    <w:rsid w:val="00472F54"/>
    <w:rsid w:val="004D6820"/>
    <w:rsid w:val="004E656C"/>
    <w:rsid w:val="00562EDF"/>
    <w:rsid w:val="006039EB"/>
    <w:rsid w:val="00651C79"/>
    <w:rsid w:val="006F477D"/>
    <w:rsid w:val="00747BE7"/>
    <w:rsid w:val="00750157"/>
    <w:rsid w:val="00795E1D"/>
    <w:rsid w:val="008153B4"/>
    <w:rsid w:val="00824D1D"/>
    <w:rsid w:val="00870FC2"/>
    <w:rsid w:val="00901AC9"/>
    <w:rsid w:val="009042EF"/>
    <w:rsid w:val="00921457"/>
    <w:rsid w:val="009809A4"/>
    <w:rsid w:val="00A1438B"/>
    <w:rsid w:val="00A21FFF"/>
    <w:rsid w:val="00B17912"/>
    <w:rsid w:val="00B359FC"/>
    <w:rsid w:val="00B56EB3"/>
    <w:rsid w:val="00BB6095"/>
    <w:rsid w:val="00C05439"/>
    <w:rsid w:val="00C156E3"/>
    <w:rsid w:val="00C30CDC"/>
    <w:rsid w:val="00CC5038"/>
    <w:rsid w:val="00CF31AA"/>
    <w:rsid w:val="00D14254"/>
    <w:rsid w:val="00DA36C1"/>
    <w:rsid w:val="00DD6EC5"/>
    <w:rsid w:val="00E630D1"/>
    <w:rsid w:val="00E72677"/>
    <w:rsid w:val="00EF55DE"/>
    <w:rsid w:val="00FA0E55"/>
    <w:rsid w:val="00FD6EA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80129"/>
  </w:style>
  <w:style w:type="paragraph" w:styleId="Heading1">
    <w:name w:val="heading 1"/>
    <w:basedOn w:val="Normal"/>
    <w:next w:val="Normal"/>
    <w:rsid w:val="00380129"/>
    <w:pPr>
      <w:keepNext/>
      <w:keepLines/>
      <w:spacing w:before="480" w:after="120"/>
      <w:contextualSpacing/>
      <w:outlineLvl w:val="0"/>
    </w:pPr>
    <w:rPr>
      <w:b/>
      <w:sz w:val="48"/>
      <w:szCs w:val="48"/>
    </w:rPr>
  </w:style>
  <w:style w:type="paragraph" w:styleId="Heading2">
    <w:name w:val="heading 2"/>
    <w:basedOn w:val="Normal"/>
    <w:next w:val="Normal"/>
    <w:rsid w:val="00380129"/>
    <w:pPr>
      <w:keepNext/>
      <w:keepLines/>
      <w:spacing w:before="360" w:after="80"/>
      <w:contextualSpacing/>
      <w:outlineLvl w:val="1"/>
    </w:pPr>
    <w:rPr>
      <w:b/>
      <w:sz w:val="36"/>
      <w:szCs w:val="36"/>
    </w:rPr>
  </w:style>
  <w:style w:type="paragraph" w:styleId="Heading3">
    <w:name w:val="heading 3"/>
    <w:basedOn w:val="Normal"/>
    <w:next w:val="Normal"/>
    <w:rsid w:val="00380129"/>
    <w:pPr>
      <w:keepNext/>
      <w:keepLines/>
      <w:spacing w:before="280" w:after="80"/>
      <w:contextualSpacing/>
      <w:outlineLvl w:val="2"/>
    </w:pPr>
    <w:rPr>
      <w:b/>
      <w:sz w:val="28"/>
      <w:szCs w:val="28"/>
    </w:rPr>
  </w:style>
  <w:style w:type="paragraph" w:styleId="Heading4">
    <w:name w:val="heading 4"/>
    <w:basedOn w:val="Normal"/>
    <w:next w:val="Normal"/>
    <w:rsid w:val="00380129"/>
    <w:pPr>
      <w:keepNext/>
      <w:keepLines/>
      <w:spacing w:before="240" w:after="40"/>
      <w:contextualSpacing/>
      <w:outlineLvl w:val="3"/>
    </w:pPr>
    <w:rPr>
      <w:b/>
      <w:sz w:val="24"/>
      <w:szCs w:val="24"/>
    </w:rPr>
  </w:style>
  <w:style w:type="paragraph" w:styleId="Heading5">
    <w:name w:val="heading 5"/>
    <w:basedOn w:val="Normal"/>
    <w:next w:val="Normal"/>
    <w:rsid w:val="00380129"/>
    <w:pPr>
      <w:keepNext/>
      <w:keepLines/>
      <w:spacing w:before="220" w:after="40"/>
      <w:contextualSpacing/>
      <w:outlineLvl w:val="4"/>
    </w:pPr>
    <w:rPr>
      <w:b/>
      <w:sz w:val="22"/>
      <w:szCs w:val="22"/>
    </w:rPr>
  </w:style>
  <w:style w:type="paragraph" w:styleId="Heading6">
    <w:name w:val="heading 6"/>
    <w:basedOn w:val="Normal"/>
    <w:next w:val="Normal"/>
    <w:rsid w:val="00380129"/>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380129"/>
    <w:pPr>
      <w:keepNext/>
      <w:keepLines/>
      <w:spacing w:before="480" w:after="120"/>
      <w:contextualSpacing/>
    </w:pPr>
    <w:rPr>
      <w:b/>
      <w:sz w:val="72"/>
      <w:szCs w:val="72"/>
    </w:rPr>
  </w:style>
  <w:style w:type="paragraph" w:styleId="Subtitle">
    <w:name w:val="Subtitle"/>
    <w:basedOn w:val="Normal"/>
    <w:next w:val="Normal"/>
    <w:rsid w:val="00380129"/>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380129"/>
    <w:tblPr>
      <w:tblStyleRowBandSize w:val="1"/>
      <w:tblStyleColBandSize w:val="1"/>
      <w:tblCellMar>
        <w:left w:w="70" w:type="dxa"/>
        <w:right w:w="70" w:type="dxa"/>
      </w:tblCellMar>
    </w:tblPr>
  </w:style>
  <w:style w:type="table" w:customStyle="1" w:styleId="a0">
    <w:basedOn w:val="TableNormal"/>
    <w:rsid w:val="00380129"/>
    <w:tblPr>
      <w:tblStyleRowBandSize w:val="1"/>
      <w:tblStyleColBandSize w:val="1"/>
      <w:tblCellMar>
        <w:left w:w="70" w:type="dxa"/>
        <w:right w:w="70" w:type="dxa"/>
      </w:tblCellMar>
    </w:tblPr>
  </w:style>
  <w:style w:type="paragraph" w:styleId="BalloonText">
    <w:name w:val="Balloon Text"/>
    <w:basedOn w:val="Normal"/>
    <w:link w:val="BalloonTextChar"/>
    <w:uiPriority w:val="99"/>
    <w:semiHidden/>
    <w:unhideWhenUsed/>
    <w:rsid w:val="00870FC2"/>
    <w:rPr>
      <w:rFonts w:ascii="Tahoma" w:hAnsi="Tahoma" w:cs="Tahoma"/>
      <w:sz w:val="16"/>
      <w:szCs w:val="16"/>
    </w:rPr>
  </w:style>
  <w:style w:type="character" w:customStyle="1" w:styleId="BalloonTextChar">
    <w:name w:val="Balloon Text Char"/>
    <w:basedOn w:val="DefaultParagraphFont"/>
    <w:link w:val="BalloonText"/>
    <w:uiPriority w:val="99"/>
    <w:semiHidden/>
    <w:rsid w:val="00870FC2"/>
    <w:rPr>
      <w:rFonts w:ascii="Tahoma" w:hAnsi="Tahoma" w:cs="Tahoma"/>
      <w:sz w:val="16"/>
      <w:szCs w:val="16"/>
    </w:rPr>
  </w:style>
  <w:style w:type="paragraph" w:customStyle="1" w:styleId="ICST-References">
    <w:name w:val="ICST-References"/>
    <w:qFormat/>
    <w:rsid w:val="00235403"/>
    <w:pPr>
      <w:numPr>
        <w:numId w:val="1"/>
      </w:numPr>
      <w:ind w:left="400" w:hanging="400"/>
      <w:jc w:val="both"/>
    </w:pPr>
    <w:rPr>
      <w:bCs/>
      <w:color w:val="auto"/>
      <w:sz w:val="18"/>
      <w:szCs w:val="18"/>
      <w:lang w:val="en-GB" w:eastAsia="en-GB"/>
    </w:rPr>
  </w:style>
  <w:style w:type="character" w:customStyle="1" w:styleId="go">
    <w:name w:val="go"/>
    <w:basedOn w:val="DefaultParagraphFont"/>
    <w:rsid w:val="002E0DFB"/>
  </w:style>
  <w:style w:type="character" w:styleId="Emphasis">
    <w:name w:val="Emphasis"/>
    <w:basedOn w:val="DefaultParagraphFont"/>
    <w:uiPriority w:val="20"/>
    <w:qFormat/>
    <w:rsid w:val="001D4DF2"/>
    <w:rPr>
      <w:i/>
      <w:iCs/>
    </w:rPr>
  </w:style>
  <w:style w:type="table" w:styleId="TableGrid">
    <w:name w:val="Table Grid"/>
    <w:aliases w:val="Table UUM"/>
    <w:basedOn w:val="TableNormal"/>
    <w:uiPriority w:val="39"/>
    <w:rsid w:val="00111DC4"/>
    <w:pPr>
      <w:jc w:val="center"/>
    </w:pPr>
    <w:rPr>
      <w:rFonts w:eastAsiaTheme="minorHAnsi" w:cstheme="minorBidi"/>
      <w:color w:val="auto"/>
      <w:sz w:val="22"/>
      <w:szCs w:val="22"/>
      <w:lang w:val="en-GB" w:eastAsia="en-US"/>
    </w:rPr>
    <w:tblPr>
      <w:tblBorders>
        <w:bottom w:val="single" w:sz="4" w:space="0" w:color="auto"/>
      </w:tblBorders>
    </w:tblPr>
    <w:tcPr>
      <w:vAlign w:val="center"/>
    </w:tcPr>
    <w:tblStylePr w:type="firstRow">
      <w:rPr>
        <w:rFonts w:ascii="Times New Roman" w:hAnsi="Times New Roman" w:cs="Times New Roman" w:hint="default"/>
        <w:b/>
        <w:sz w:val="22"/>
        <w:szCs w:val="22"/>
      </w:rPr>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pPr>
        <w:jc w:val="left"/>
      </w:pPr>
    </w:tblStylePr>
  </w:style>
  <w:style w:type="paragraph" w:styleId="NoSpacing">
    <w:name w:val="No Spacing"/>
    <w:link w:val="NoSpacingChar"/>
    <w:uiPriority w:val="1"/>
    <w:qFormat/>
    <w:rsid w:val="00111DC4"/>
    <w:rPr>
      <w:rFonts w:asciiTheme="minorHAnsi" w:eastAsiaTheme="minorHAnsi" w:hAnsiTheme="minorHAnsi" w:cstheme="minorBidi"/>
      <w:color w:val="auto"/>
      <w:sz w:val="22"/>
      <w:szCs w:val="22"/>
      <w:lang w:val="en-MY" w:eastAsia="en-US"/>
    </w:rPr>
  </w:style>
  <w:style w:type="character" w:customStyle="1" w:styleId="NoSpacingChar">
    <w:name w:val="No Spacing Char"/>
    <w:basedOn w:val="DefaultParagraphFont"/>
    <w:link w:val="NoSpacing"/>
    <w:uiPriority w:val="1"/>
    <w:rsid w:val="00111DC4"/>
    <w:rPr>
      <w:rFonts w:asciiTheme="minorHAnsi" w:eastAsiaTheme="minorHAnsi" w:hAnsiTheme="minorHAnsi" w:cstheme="minorBidi"/>
      <w:color w:val="auto"/>
      <w:sz w:val="22"/>
      <w:szCs w:val="22"/>
      <w:lang w:val="en-MY" w:eastAsia="en-US"/>
    </w:rPr>
  </w:style>
  <w:style w:type="paragraph" w:styleId="ListParagraph">
    <w:name w:val="List Paragraph"/>
    <w:basedOn w:val="Normal"/>
    <w:uiPriority w:val="34"/>
    <w:qFormat/>
    <w:rsid w:val="00111DC4"/>
    <w:pPr>
      <w:spacing w:after="200" w:line="276" w:lineRule="auto"/>
      <w:ind w:left="720"/>
      <w:contextualSpacing/>
    </w:pPr>
    <w:rPr>
      <w:rFonts w:asciiTheme="minorHAnsi" w:eastAsiaTheme="minorHAnsi" w:hAnsiTheme="minorHAnsi" w:cstheme="minorBidi"/>
      <w:color w:val="auto"/>
      <w:sz w:val="22"/>
      <w:szCs w:val="22"/>
      <w:lang w:val="en-US" w:eastAsia="en-US"/>
    </w:rPr>
  </w:style>
  <w:style w:type="paragraph" w:styleId="Header">
    <w:name w:val="header"/>
    <w:basedOn w:val="Normal"/>
    <w:link w:val="HeaderChar"/>
    <w:uiPriority w:val="99"/>
    <w:unhideWhenUsed/>
    <w:rsid w:val="000E432E"/>
    <w:pPr>
      <w:tabs>
        <w:tab w:val="center" w:pos="4680"/>
        <w:tab w:val="right" w:pos="9360"/>
      </w:tabs>
    </w:pPr>
  </w:style>
  <w:style w:type="character" w:customStyle="1" w:styleId="HeaderChar">
    <w:name w:val="Header Char"/>
    <w:basedOn w:val="DefaultParagraphFont"/>
    <w:link w:val="Header"/>
    <w:uiPriority w:val="99"/>
    <w:rsid w:val="000E432E"/>
  </w:style>
  <w:style w:type="paragraph" w:styleId="Footer">
    <w:name w:val="footer"/>
    <w:basedOn w:val="Normal"/>
    <w:link w:val="FooterChar"/>
    <w:uiPriority w:val="99"/>
    <w:unhideWhenUsed/>
    <w:rsid w:val="000E432E"/>
    <w:pPr>
      <w:tabs>
        <w:tab w:val="center" w:pos="4680"/>
        <w:tab w:val="right" w:pos="9360"/>
      </w:tabs>
    </w:pPr>
  </w:style>
  <w:style w:type="character" w:customStyle="1" w:styleId="FooterChar">
    <w:name w:val="Footer Char"/>
    <w:basedOn w:val="DefaultParagraphFont"/>
    <w:link w:val="Footer"/>
    <w:uiPriority w:val="99"/>
    <w:rsid w:val="000E432E"/>
  </w:style>
  <w:style w:type="character" w:styleId="Hyperlink">
    <w:name w:val="Hyperlink"/>
    <w:basedOn w:val="DefaultParagraphFont"/>
    <w:uiPriority w:val="99"/>
    <w:unhideWhenUsed/>
    <w:rsid w:val="00A21FF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80129"/>
  </w:style>
  <w:style w:type="paragraph" w:styleId="Heading1">
    <w:name w:val="heading 1"/>
    <w:basedOn w:val="Normal"/>
    <w:next w:val="Normal"/>
    <w:rsid w:val="00380129"/>
    <w:pPr>
      <w:keepNext/>
      <w:keepLines/>
      <w:spacing w:before="480" w:after="120"/>
      <w:contextualSpacing/>
      <w:outlineLvl w:val="0"/>
    </w:pPr>
    <w:rPr>
      <w:b/>
      <w:sz w:val="48"/>
      <w:szCs w:val="48"/>
    </w:rPr>
  </w:style>
  <w:style w:type="paragraph" w:styleId="Heading2">
    <w:name w:val="heading 2"/>
    <w:basedOn w:val="Normal"/>
    <w:next w:val="Normal"/>
    <w:rsid w:val="00380129"/>
    <w:pPr>
      <w:keepNext/>
      <w:keepLines/>
      <w:spacing w:before="360" w:after="80"/>
      <w:contextualSpacing/>
      <w:outlineLvl w:val="1"/>
    </w:pPr>
    <w:rPr>
      <w:b/>
      <w:sz w:val="36"/>
      <w:szCs w:val="36"/>
    </w:rPr>
  </w:style>
  <w:style w:type="paragraph" w:styleId="Heading3">
    <w:name w:val="heading 3"/>
    <w:basedOn w:val="Normal"/>
    <w:next w:val="Normal"/>
    <w:rsid w:val="00380129"/>
    <w:pPr>
      <w:keepNext/>
      <w:keepLines/>
      <w:spacing w:before="280" w:after="80"/>
      <w:contextualSpacing/>
      <w:outlineLvl w:val="2"/>
    </w:pPr>
    <w:rPr>
      <w:b/>
      <w:sz w:val="28"/>
      <w:szCs w:val="28"/>
    </w:rPr>
  </w:style>
  <w:style w:type="paragraph" w:styleId="Heading4">
    <w:name w:val="heading 4"/>
    <w:basedOn w:val="Normal"/>
    <w:next w:val="Normal"/>
    <w:rsid w:val="00380129"/>
    <w:pPr>
      <w:keepNext/>
      <w:keepLines/>
      <w:spacing w:before="240" w:after="40"/>
      <w:contextualSpacing/>
      <w:outlineLvl w:val="3"/>
    </w:pPr>
    <w:rPr>
      <w:b/>
      <w:sz w:val="24"/>
      <w:szCs w:val="24"/>
    </w:rPr>
  </w:style>
  <w:style w:type="paragraph" w:styleId="Heading5">
    <w:name w:val="heading 5"/>
    <w:basedOn w:val="Normal"/>
    <w:next w:val="Normal"/>
    <w:rsid w:val="00380129"/>
    <w:pPr>
      <w:keepNext/>
      <w:keepLines/>
      <w:spacing w:before="220" w:after="40"/>
      <w:contextualSpacing/>
      <w:outlineLvl w:val="4"/>
    </w:pPr>
    <w:rPr>
      <w:b/>
      <w:sz w:val="22"/>
      <w:szCs w:val="22"/>
    </w:rPr>
  </w:style>
  <w:style w:type="paragraph" w:styleId="Heading6">
    <w:name w:val="heading 6"/>
    <w:basedOn w:val="Normal"/>
    <w:next w:val="Normal"/>
    <w:rsid w:val="00380129"/>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380129"/>
    <w:pPr>
      <w:keepNext/>
      <w:keepLines/>
      <w:spacing w:before="480" w:after="120"/>
      <w:contextualSpacing/>
    </w:pPr>
    <w:rPr>
      <w:b/>
      <w:sz w:val="72"/>
      <w:szCs w:val="72"/>
    </w:rPr>
  </w:style>
  <w:style w:type="paragraph" w:styleId="Subtitle">
    <w:name w:val="Subtitle"/>
    <w:basedOn w:val="Normal"/>
    <w:next w:val="Normal"/>
    <w:rsid w:val="00380129"/>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380129"/>
    <w:tblPr>
      <w:tblStyleRowBandSize w:val="1"/>
      <w:tblStyleColBandSize w:val="1"/>
      <w:tblCellMar>
        <w:left w:w="70" w:type="dxa"/>
        <w:right w:w="70" w:type="dxa"/>
      </w:tblCellMar>
    </w:tblPr>
  </w:style>
  <w:style w:type="table" w:customStyle="1" w:styleId="a0">
    <w:basedOn w:val="TableNormal"/>
    <w:rsid w:val="00380129"/>
    <w:tblPr>
      <w:tblStyleRowBandSize w:val="1"/>
      <w:tblStyleColBandSize w:val="1"/>
      <w:tblCellMar>
        <w:left w:w="70" w:type="dxa"/>
        <w:right w:w="70" w:type="dxa"/>
      </w:tblCellMar>
    </w:tblPr>
  </w:style>
  <w:style w:type="paragraph" w:styleId="BalloonText">
    <w:name w:val="Balloon Text"/>
    <w:basedOn w:val="Normal"/>
    <w:link w:val="BalloonTextChar"/>
    <w:uiPriority w:val="99"/>
    <w:semiHidden/>
    <w:unhideWhenUsed/>
    <w:rsid w:val="00870FC2"/>
    <w:rPr>
      <w:rFonts w:ascii="Tahoma" w:hAnsi="Tahoma" w:cs="Tahoma"/>
      <w:sz w:val="16"/>
      <w:szCs w:val="16"/>
    </w:rPr>
  </w:style>
  <w:style w:type="character" w:customStyle="1" w:styleId="BalloonTextChar">
    <w:name w:val="Balloon Text Char"/>
    <w:basedOn w:val="DefaultParagraphFont"/>
    <w:link w:val="BalloonText"/>
    <w:uiPriority w:val="99"/>
    <w:semiHidden/>
    <w:rsid w:val="00870FC2"/>
    <w:rPr>
      <w:rFonts w:ascii="Tahoma" w:hAnsi="Tahoma" w:cs="Tahoma"/>
      <w:sz w:val="16"/>
      <w:szCs w:val="16"/>
    </w:rPr>
  </w:style>
  <w:style w:type="paragraph" w:customStyle="1" w:styleId="ICST-References">
    <w:name w:val="ICST-References"/>
    <w:qFormat/>
    <w:rsid w:val="00235403"/>
    <w:pPr>
      <w:numPr>
        <w:numId w:val="1"/>
      </w:numPr>
      <w:ind w:left="400" w:hanging="400"/>
      <w:jc w:val="both"/>
    </w:pPr>
    <w:rPr>
      <w:bCs/>
      <w:color w:val="auto"/>
      <w:sz w:val="18"/>
      <w:szCs w:val="18"/>
      <w:lang w:val="en-GB" w:eastAsia="en-GB"/>
    </w:rPr>
  </w:style>
  <w:style w:type="character" w:customStyle="1" w:styleId="go">
    <w:name w:val="go"/>
    <w:basedOn w:val="DefaultParagraphFont"/>
    <w:rsid w:val="002E0DFB"/>
  </w:style>
  <w:style w:type="character" w:styleId="Emphasis">
    <w:name w:val="Emphasis"/>
    <w:basedOn w:val="DefaultParagraphFont"/>
    <w:uiPriority w:val="20"/>
    <w:qFormat/>
    <w:rsid w:val="001D4DF2"/>
    <w:rPr>
      <w:i/>
      <w:iCs/>
    </w:rPr>
  </w:style>
  <w:style w:type="table" w:styleId="TableGrid">
    <w:name w:val="Table Grid"/>
    <w:aliases w:val="Table UUM"/>
    <w:basedOn w:val="TableNormal"/>
    <w:uiPriority w:val="39"/>
    <w:rsid w:val="00111DC4"/>
    <w:pPr>
      <w:jc w:val="center"/>
    </w:pPr>
    <w:rPr>
      <w:rFonts w:eastAsiaTheme="minorHAnsi" w:cstheme="minorBidi"/>
      <w:color w:val="auto"/>
      <w:sz w:val="22"/>
      <w:szCs w:val="22"/>
      <w:lang w:val="en-GB" w:eastAsia="en-US"/>
    </w:rPr>
    <w:tblPr>
      <w:tblBorders>
        <w:bottom w:val="single" w:sz="4" w:space="0" w:color="auto"/>
      </w:tblBorders>
    </w:tblPr>
    <w:tcPr>
      <w:vAlign w:val="center"/>
    </w:tcPr>
    <w:tblStylePr w:type="firstRow">
      <w:rPr>
        <w:rFonts w:ascii="Times New Roman" w:hAnsi="Times New Roman" w:cs="Times New Roman" w:hint="default"/>
        <w:b/>
        <w:sz w:val="22"/>
        <w:szCs w:val="22"/>
      </w:rPr>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pPr>
        <w:jc w:val="left"/>
      </w:pPr>
    </w:tblStylePr>
  </w:style>
  <w:style w:type="paragraph" w:styleId="NoSpacing">
    <w:name w:val="No Spacing"/>
    <w:link w:val="NoSpacingChar"/>
    <w:uiPriority w:val="1"/>
    <w:qFormat/>
    <w:rsid w:val="00111DC4"/>
    <w:rPr>
      <w:rFonts w:asciiTheme="minorHAnsi" w:eastAsiaTheme="minorHAnsi" w:hAnsiTheme="minorHAnsi" w:cstheme="minorBidi"/>
      <w:color w:val="auto"/>
      <w:sz w:val="22"/>
      <w:szCs w:val="22"/>
      <w:lang w:val="en-MY" w:eastAsia="en-US"/>
    </w:rPr>
  </w:style>
  <w:style w:type="character" w:customStyle="1" w:styleId="NoSpacingChar">
    <w:name w:val="No Spacing Char"/>
    <w:basedOn w:val="DefaultParagraphFont"/>
    <w:link w:val="NoSpacing"/>
    <w:uiPriority w:val="1"/>
    <w:rsid w:val="00111DC4"/>
    <w:rPr>
      <w:rFonts w:asciiTheme="minorHAnsi" w:eastAsiaTheme="minorHAnsi" w:hAnsiTheme="minorHAnsi" w:cstheme="minorBidi"/>
      <w:color w:val="auto"/>
      <w:sz w:val="22"/>
      <w:szCs w:val="22"/>
      <w:lang w:val="en-MY" w:eastAsia="en-US"/>
    </w:rPr>
  </w:style>
  <w:style w:type="paragraph" w:styleId="ListParagraph">
    <w:name w:val="List Paragraph"/>
    <w:basedOn w:val="Normal"/>
    <w:uiPriority w:val="34"/>
    <w:qFormat/>
    <w:rsid w:val="00111DC4"/>
    <w:pPr>
      <w:spacing w:after="200" w:line="276" w:lineRule="auto"/>
      <w:ind w:left="720"/>
      <w:contextualSpacing/>
    </w:pPr>
    <w:rPr>
      <w:rFonts w:asciiTheme="minorHAnsi" w:eastAsiaTheme="minorHAnsi" w:hAnsiTheme="minorHAnsi" w:cstheme="minorBidi"/>
      <w:color w:val="auto"/>
      <w:sz w:val="22"/>
      <w:szCs w:val="22"/>
      <w:lang w:val="en-US" w:eastAsia="en-US"/>
    </w:rPr>
  </w:style>
  <w:style w:type="paragraph" w:styleId="Header">
    <w:name w:val="header"/>
    <w:basedOn w:val="Normal"/>
    <w:link w:val="HeaderChar"/>
    <w:uiPriority w:val="99"/>
    <w:unhideWhenUsed/>
    <w:rsid w:val="000E432E"/>
    <w:pPr>
      <w:tabs>
        <w:tab w:val="center" w:pos="4680"/>
        <w:tab w:val="right" w:pos="9360"/>
      </w:tabs>
    </w:pPr>
  </w:style>
  <w:style w:type="character" w:customStyle="1" w:styleId="HeaderChar">
    <w:name w:val="Header Char"/>
    <w:basedOn w:val="DefaultParagraphFont"/>
    <w:link w:val="Header"/>
    <w:uiPriority w:val="99"/>
    <w:rsid w:val="000E432E"/>
  </w:style>
  <w:style w:type="paragraph" w:styleId="Footer">
    <w:name w:val="footer"/>
    <w:basedOn w:val="Normal"/>
    <w:link w:val="FooterChar"/>
    <w:uiPriority w:val="99"/>
    <w:unhideWhenUsed/>
    <w:rsid w:val="000E432E"/>
    <w:pPr>
      <w:tabs>
        <w:tab w:val="center" w:pos="4680"/>
        <w:tab w:val="right" w:pos="9360"/>
      </w:tabs>
    </w:pPr>
  </w:style>
  <w:style w:type="character" w:customStyle="1" w:styleId="FooterChar">
    <w:name w:val="Footer Char"/>
    <w:basedOn w:val="DefaultParagraphFont"/>
    <w:link w:val="Footer"/>
    <w:uiPriority w:val="99"/>
    <w:rsid w:val="000E432E"/>
  </w:style>
  <w:style w:type="character" w:styleId="Hyperlink">
    <w:name w:val="Hyperlink"/>
    <w:basedOn w:val="DefaultParagraphFont"/>
    <w:uiPriority w:val="99"/>
    <w:unhideWhenUsed/>
    <w:rsid w:val="00A21F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doi.org/10.1007/s43546-020-00011-y"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publications.bond.edu.au/ijbf/vol7/iss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7030</Words>
  <Characters>40077</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Omachi Okolo</cp:lastModifiedBy>
  <cp:revision>4</cp:revision>
  <dcterms:created xsi:type="dcterms:W3CDTF">2024-11-07T12:30:00Z</dcterms:created>
  <dcterms:modified xsi:type="dcterms:W3CDTF">2024-11-27T08:50:00Z</dcterms:modified>
</cp:coreProperties>
</file>