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58A" w:rsidRPr="0056450E" w:rsidRDefault="0067244B" w:rsidP="005D2CDF">
      <w:pPr>
        <w:pStyle w:val="Default"/>
        <w:jc w:val="center"/>
        <w:rPr>
          <w:b/>
          <w:smallCaps/>
          <w:sz w:val="32"/>
          <w:szCs w:val="28"/>
        </w:rPr>
      </w:pPr>
      <w:r>
        <w:rPr>
          <w:b/>
          <w:smallCaps/>
          <w:noProof/>
          <w:sz w:val="32"/>
          <w:szCs w:val="28"/>
          <w:lang w:eastAsia="en-US"/>
        </w:rP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-723900</wp:posOffset>
                </wp:positionV>
                <wp:extent cx="2781300" cy="43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813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244B" w:rsidRPr="008260B2" w:rsidRDefault="0067244B" w:rsidP="0067244B">
                            <w:pPr>
                              <w:pStyle w:val="Default"/>
                              <w:jc w:val="center"/>
                              <w:rPr>
                                <w:i/>
                                <w:sz w:val="20"/>
                                <w:szCs w:val="20"/>
                              </w:rPr>
                            </w:pPr>
                            <w:r>
                              <w:rPr>
                                <w:b/>
                                <w:bCs/>
                                <w:i/>
                                <w:iCs/>
                                <w:sz w:val="20"/>
                                <w:szCs w:val="20"/>
                              </w:rPr>
                              <w:t xml:space="preserve">                                            </w:t>
                            </w:r>
                            <w:r w:rsidR="00A64F0E">
                              <w:rPr>
                                <w:b/>
                                <w:bCs/>
                                <w:i/>
                                <w:iCs/>
                                <w:sz w:val="20"/>
                                <w:szCs w:val="20"/>
                              </w:rPr>
                              <w:t xml:space="preserve">  </w:t>
                            </w:r>
                            <w:r>
                              <w:rPr>
                                <w:b/>
                                <w:bCs/>
                                <w:i/>
                                <w:iCs/>
                                <w:sz w:val="20"/>
                                <w:szCs w:val="20"/>
                              </w:rPr>
                              <w:t xml:space="preserve"> </w:t>
                            </w:r>
                            <w:r w:rsidRPr="008260B2">
                              <w:rPr>
                                <w:b/>
                                <w:bCs/>
                                <w:i/>
                                <w:iCs/>
                                <w:sz w:val="20"/>
                                <w:szCs w:val="20"/>
                              </w:rPr>
                              <w:t xml:space="preserve">e-ISSN: 3027-0650                                                                              </w:t>
                            </w:r>
                            <w:r w:rsidR="00634EAE">
                              <w:rPr>
                                <w:b/>
                                <w:bCs/>
                                <w:i/>
                                <w:iCs/>
                                <w:sz w:val="20"/>
                                <w:szCs w:val="20"/>
                              </w:rPr>
                              <w:t xml:space="preserve"> Vol. 2, Issue 1, pp.84 -9</w:t>
                            </w:r>
                            <w:r w:rsidR="00A64F0E">
                              <w:rPr>
                                <w:b/>
                                <w:bCs/>
                                <w:i/>
                                <w:iCs/>
                                <w:sz w:val="20"/>
                                <w:szCs w:val="20"/>
                              </w:rPr>
                              <w:t>2</w:t>
                            </w:r>
                            <w:r w:rsidRPr="008260B2">
                              <w:rPr>
                                <w:b/>
                                <w:bCs/>
                                <w:i/>
                                <w:iCs/>
                                <w:sz w:val="20"/>
                                <w:szCs w:val="20"/>
                              </w:rPr>
                              <w:t>, November 6</w:t>
                            </w:r>
                            <w:r>
                              <w:rPr>
                                <w:b/>
                                <w:bCs/>
                                <w:i/>
                                <w:iCs/>
                                <w:sz w:val="20"/>
                                <w:szCs w:val="20"/>
                              </w:rPr>
                              <w:t xml:space="preserve"> -9, 2024</w:t>
                            </w:r>
                          </w:p>
                          <w:p w:rsidR="0067244B" w:rsidRDefault="006724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0pt;margin-top:-57pt;width:219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" fillcolor="white [3201]" stroked="f" strokeweight=".5pt">
                <v:textbox>
                  <w:txbxContent>
                    <w:p w:rsidR="0067244B" w:rsidRPr="008260B2" w:rsidRDefault="0067244B" w:rsidP="0067244B">
                      <w:pPr>
                        <w:pStyle w:val="Default"/>
                        <w:jc w:val="center"/>
                        <w:rPr>
                          <w:i/>
                          <w:sz w:val="20"/>
                          <w:szCs w:val="20"/>
                        </w:rPr>
                      </w:pPr>
                      <w:r>
                        <w:rPr>
                          <w:b/>
                          <w:bCs/>
                          <w:i/>
                          <w:iCs/>
                          <w:sz w:val="20"/>
                          <w:szCs w:val="20"/>
                        </w:rPr>
                        <w:t xml:space="preserve">                                            </w:t>
                      </w:r>
                      <w:r w:rsidR="00A64F0E">
                        <w:rPr>
                          <w:b/>
                          <w:bCs/>
                          <w:i/>
                          <w:iCs/>
                          <w:sz w:val="20"/>
                          <w:szCs w:val="20"/>
                        </w:rPr>
                        <w:t xml:space="preserve">  </w:t>
                      </w:r>
                      <w:r>
                        <w:rPr>
                          <w:b/>
                          <w:bCs/>
                          <w:i/>
                          <w:iCs/>
                          <w:sz w:val="20"/>
                          <w:szCs w:val="20"/>
                        </w:rPr>
                        <w:t xml:space="preserve"> </w:t>
                      </w:r>
                      <w:r w:rsidRPr="008260B2">
                        <w:rPr>
                          <w:b/>
                          <w:bCs/>
                          <w:i/>
                          <w:iCs/>
                          <w:sz w:val="20"/>
                          <w:szCs w:val="20"/>
                        </w:rPr>
                        <w:t xml:space="preserve">e-ISSN: 3027-0650                                                                              </w:t>
                      </w:r>
                      <w:r w:rsidR="00634EAE">
                        <w:rPr>
                          <w:b/>
                          <w:bCs/>
                          <w:i/>
                          <w:iCs/>
                          <w:sz w:val="20"/>
                          <w:szCs w:val="20"/>
                        </w:rPr>
                        <w:t xml:space="preserve"> Vol. 2, Issue 1, pp.84 -9</w:t>
                      </w:r>
                      <w:r w:rsidR="00A64F0E">
                        <w:rPr>
                          <w:b/>
                          <w:bCs/>
                          <w:i/>
                          <w:iCs/>
                          <w:sz w:val="20"/>
                          <w:szCs w:val="20"/>
                        </w:rPr>
                        <w:t>2</w:t>
                      </w:r>
                      <w:r w:rsidRPr="008260B2">
                        <w:rPr>
                          <w:b/>
                          <w:bCs/>
                          <w:i/>
                          <w:iCs/>
                          <w:sz w:val="20"/>
                          <w:szCs w:val="20"/>
                        </w:rPr>
                        <w:t>, November 6</w:t>
                      </w:r>
                      <w:r>
                        <w:rPr>
                          <w:b/>
                          <w:bCs/>
                          <w:i/>
                          <w:iCs/>
                          <w:sz w:val="20"/>
                          <w:szCs w:val="20"/>
                        </w:rPr>
                        <w:t xml:space="preserve"> -9, 2024</w:t>
                      </w:r>
                    </w:p>
                    <w:p w:rsidR="0067244B" w:rsidRDefault="0067244B"/>
                  </w:txbxContent>
                </v:textbox>
              </v:shape>
            </w:pict>
          </mc:Fallback>
        </mc:AlternateContent>
      </w:r>
      <w:r w:rsidR="0056450E" w:rsidRPr="0056450E">
        <w:rPr>
          <w:b/>
          <w:smallCaps/>
          <w:sz w:val="32"/>
          <w:szCs w:val="28"/>
        </w:rPr>
        <w:t>CORPORATE GOVERNANCE DISCLOSURE AND STOCK PRICE AMONG LISTED CONSUMER GOODS FIRMS IN NIGERIA</w:t>
      </w:r>
    </w:p>
    <w:p w:rsidR="00D3058A" w:rsidRDefault="00D3058A">
      <w:pPr>
        <w:spacing w:after="0" w:line="276" w:lineRule="auto"/>
        <w:jc w:val="center"/>
        <w:rPr>
          <w:rFonts w:ascii="Times New Roman" w:eastAsia="Times New Roman" w:hAnsi="Times New Roman" w:cs="Times New Roman"/>
          <w:b/>
          <w:sz w:val="24"/>
          <w:szCs w:val="24"/>
        </w:rPr>
      </w:pPr>
    </w:p>
    <w:p w:rsidR="00D3058A" w:rsidRPr="005D2CDF" w:rsidRDefault="0056450E">
      <w:pPr>
        <w:spacing w:after="0" w:line="276" w:lineRule="auto"/>
        <w:jc w:val="center"/>
        <w:rPr>
          <w:rFonts w:ascii="Times New Roman" w:eastAsia="Times New Roman" w:hAnsi="Times New Roman" w:cs="Times New Roman"/>
          <w:b/>
          <w:sz w:val="24"/>
          <w:szCs w:val="24"/>
        </w:rPr>
      </w:pPr>
      <w:r w:rsidRPr="005D2CDF">
        <w:rPr>
          <w:rFonts w:ascii="Times New Roman" w:eastAsia="Times New Roman" w:hAnsi="Times New Roman" w:cs="Times New Roman"/>
          <w:b/>
          <w:sz w:val="24"/>
          <w:szCs w:val="24"/>
        </w:rPr>
        <w:t>Mary John</w:t>
      </w:r>
    </w:p>
    <w:p w:rsidR="005D2CDF" w:rsidRPr="0056450E" w:rsidRDefault="005D2CDF">
      <w:pPr>
        <w:spacing w:after="0" w:line="276" w:lineRule="auto"/>
        <w:jc w:val="center"/>
        <w:rPr>
          <w:rFonts w:ascii="Times New Roman" w:eastAsia="Times New Roman" w:hAnsi="Times New Roman" w:cs="Times New Roman"/>
          <w:b/>
          <w:sz w:val="20"/>
          <w:szCs w:val="24"/>
        </w:rPr>
      </w:pPr>
    </w:p>
    <w:p w:rsidR="00D3058A" w:rsidRPr="005D2CDF" w:rsidRDefault="0056450E">
      <w:pPr>
        <w:spacing w:after="0" w:line="276" w:lineRule="auto"/>
        <w:jc w:val="center"/>
        <w:rPr>
          <w:rFonts w:ascii="Times New Roman" w:eastAsia="Times New Roman" w:hAnsi="Times New Roman" w:cs="Times New Roman"/>
          <w:sz w:val="20"/>
          <w:szCs w:val="24"/>
        </w:rPr>
      </w:pPr>
      <w:r w:rsidRPr="005D2CDF">
        <w:rPr>
          <w:rFonts w:ascii="Times New Roman" w:eastAsia="Times New Roman" w:hAnsi="Times New Roman" w:cs="Times New Roman"/>
          <w:sz w:val="20"/>
          <w:szCs w:val="24"/>
        </w:rPr>
        <w:t xml:space="preserve">Graduate Student, American University of Nigeria </w:t>
      </w:r>
    </w:p>
    <w:p w:rsidR="00D3058A" w:rsidRPr="005D2CDF" w:rsidRDefault="0056450E">
      <w:pPr>
        <w:spacing w:after="0" w:line="276" w:lineRule="auto"/>
        <w:jc w:val="center"/>
        <w:rPr>
          <w:rFonts w:ascii="Times New Roman" w:eastAsia="Times New Roman" w:hAnsi="Times New Roman" w:cs="Times New Roman"/>
          <w:sz w:val="20"/>
          <w:szCs w:val="24"/>
        </w:rPr>
      </w:pPr>
      <w:r w:rsidRPr="005D2CDF">
        <w:rPr>
          <w:rFonts w:ascii="Times New Roman" w:eastAsia="Times New Roman" w:hAnsi="Times New Roman" w:cs="Times New Roman"/>
          <w:sz w:val="20"/>
          <w:szCs w:val="24"/>
        </w:rPr>
        <w:t>Mary.john@aun.edu.ng</w:t>
      </w:r>
      <w:bookmarkStart w:id="0" w:name="_GoBack"/>
      <w:bookmarkEnd w:id="0"/>
    </w:p>
    <w:p w:rsidR="00D3058A" w:rsidRDefault="00D3058A">
      <w:pPr>
        <w:spacing w:after="0" w:line="480" w:lineRule="auto"/>
        <w:jc w:val="center"/>
        <w:rPr>
          <w:rFonts w:ascii="Times New Roman" w:eastAsia="Times New Roman" w:hAnsi="Times New Roman" w:cs="Times New Roman"/>
          <w:sz w:val="24"/>
          <w:szCs w:val="24"/>
        </w:rPr>
      </w:pPr>
    </w:p>
    <w:p w:rsidR="00D3058A" w:rsidRDefault="0056450E" w:rsidP="0056450E">
      <w:pPr>
        <w:spacing w:after="0" w:line="480" w:lineRule="auto"/>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ABSTRACT</w:t>
      </w:r>
    </w:p>
    <w:p w:rsidR="00D3058A" w:rsidRPr="0056450E" w:rsidRDefault="0056450E" w:rsidP="005D2CDF">
      <w:pPr>
        <w:spacing w:after="0" w:line="240" w:lineRule="auto"/>
        <w:jc w:val="both"/>
        <w:rPr>
          <w:rFonts w:ascii="Times New Roman" w:eastAsia="Times New Roman" w:hAnsi="Times New Roman" w:cs="Times New Roman"/>
          <w:b/>
          <w:sz w:val="20"/>
          <w:szCs w:val="24"/>
        </w:rPr>
      </w:pPr>
      <w:r w:rsidRPr="0056450E">
        <w:rPr>
          <w:rFonts w:ascii="Times New Roman" w:eastAsia="Times New Roman" w:hAnsi="Times New Roman" w:cs="Times New Roman"/>
          <w:sz w:val="20"/>
          <w:szCs w:val="24"/>
        </w:rPr>
        <w:t xml:space="preserve">This research investigated the impact of corporate governance disclosure on stock price reaction of consumer goods firms listed on the Nigeria Stock Exchange (NSE). The study involved 16 consumer goods firms listed on the NSE. Secondary data for the study was collected from the annual reports of the sample companies, for the period 2014 to 2022. The panel data regression analysis, particularly the feasible generalized least square regression (FGLS) method was used because it has an inbuilt mechanism to control for the existence of </w:t>
      </w:r>
      <w:proofErr w:type="spellStart"/>
      <w:r w:rsidRPr="0056450E">
        <w:rPr>
          <w:rFonts w:ascii="Times New Roman" w:eastAsia="Times New Roman" w:hAnsi="Times New Roman" w:cs="Times New Roman"/>
          <w:sz w:val="20"/>
          <w:szCs w:val="24"/>
        </w:rPr>
        <w:t>heteroskedasticity</w:t>
      </w:r>
      <w:proofErr w:type="spellEnd"/>
      <w:r w:rsidRPr="0056450E">
        <w:rPr>
          <w:rFonts w:ascii="Times New Roman" w:eastAsia="Times New Roman" w:hAnsi="Times New Roman" w:cs="Times New Roman"/>
          <w:sz w:val="20"/>
          <w:szCs w:val="24"/>
        </w:rPr>
        <w:t xml:space="preserve"> and accommodate non-normally distribution, which was discovered in the data. Data analysis revealed that the rate of corporate governance disclosure influences the stock prices of firms, even though profitability, leverage, firm size, and industry did not have any moderating effect on this relationship. These findings show that corporate governance disclosure is a very relevant factor in the decision making of investors in consumer goods firms, which makes it essential for these firms to build trust and display transparency by always disclosing their corporate governance practices in their annual reports, their websites, and other channels.</w:t>
      </w:r>
    </w:p>
    <w:p w:rsidR="00D3058A" w:rsidRDefault="00D3058A">
      <w:pPr>
        <w:spacing w:after="0" w:line="276" w:lineRule="auto"/>
        <w:jc w:val="both"/>
        <w:rPr>
          <w:rFonts w:ascii="Times New Roman" w:eastAsia="Times New Roman" w:hAnsi="Times New Roman" w:cs="Times New Roman"/>
          <w:sz w:val="24"/>
          <w:szCs w:val="24"/>
        </w:rPr>
      </w:pPr>
    </w:p>
    <w:p w:rsidR="00D3058A" w:rsidRPr="0056450E" w:rsidRDefault="0056450E">
      <w:pPr>
        <w:spacing w:after="0" w:line="276" w:lineRule="auto"/>
        <w:jc w:val="both"/>
        <w:rPr>
          <w:rFonts w:ascii="Times New Roman" w:eastAsia="Times New Roman" w:hAnsi="Times New Roman" w:cs="Times New Roman"/>
          <w:sz w:val="20"/>
          <w:szCs w:val="24"/>
        </w:rPr>
      </w:pPr>
      <w:r w:rsidRPr="0056450E">
        <w:rPr>
          <w:rFonts w:ascii="Times New Roman" w:eastAsia="Times New Roman" w:hAnsi="Times New Roman" w:cs="Times New Roman"/>
          <w:b/>
          <w:sz w:val="20"/>
          <w:szCs w:val="24"/>
        </w:rPr>
        <w:t>Keywords:</w:t>
      </w:r>
      <w:r w:rsidRPr="0056450E">
        <w:rPr>
          <w:rFonts w:ascii="Times New Roman" w:eastAsia="Times New Roman" w:hAnsi="Times New Roman" w:cs="Times New Roman"/>
          <w:sz w:val="20"/>
          <w:szCs w:val="24"/>
        </w:rPr>
        <w:t xml:space="preserve"> Governance disclosure; profitability; stock price reaction; Consumer Goods </w:t>
      </w:r>
    </w:p>
    <w:p w:rsidR="00D3058A" w:rsidRDefault="00D3058A">
      <w:pPr>
        <w:rPr>
          <w:rFonts w:ascii="Times New Roman" w:eastAsia="Times New Roman" w:hAnsi="Times New Roman" w:cs="Times New Roman"/>
          <w:b/>
          <w:sz w:val="24"/>
          <w:szCs w:val="24"/>
        </w:rPr>
      </w:pPr>
    </w:p>
    <w:p w:rsidR="00D3058A" w:rsidRPr="0056450E" w:rsidRDefault="0056450E" w:rsidP="0056450E">
      <w:pPr>
        <w:pStyle w:val="ListParagraph"/>
        <w:numPr>
          <w:ilvl w:val="0"/>
          <w:numId w:val="2"/>
        </w:numPr>
        <w:pBdr>
          <w:top w:val="nil"/>
          <w:left w:val="nil"/>
          <w:bottom w:val="nil"/>
          <w:right w:val="nil"/>
          <w:between w:val="nil"/>
        </w:pBdr>
        <w:spacing w:before="240" w:after="0" w:line="276" w:lineRule="auto"/>
        <w:ind w:left="0" w:firstLine="0"/>
        <w:jc w:val="both"/>
        <w:rPr>
          <w:rFonts w:ascii="Times New Roman" w:eastAsia="Times New Roman" w:hAnsi="Times New Roman" w:cs="Times New Roman"/>
          <w:b/>
          <w:color w:val="000000"/>
          <w:sz w:val="24"/>
          <w:szCs w:val="24"/>
        </w:rPr>
      </w:pPr>
      <w:r w:rsidRPr="0056450E">
        <w:rPr>
          <w:rFonts w:ascii="Times New Roman" w:eastAsia="Times New Roman" w:hAnsi="Times New Roman" w:cs="Times New Roman"/>
          <w:b/>
          <w:color w:val="000000"/>
          <w:sz w:val="24"/>
          <w:szCs w:val="24"/>
        </w:rPr>
        <w:t xml:space="preserve">Study Background </w:t>
      </w:r>
    </w:p>
    <w:p w:rsidR="00D3058A" w:rsidRPr="0056450E" w:rsidRDefault="0056450E" w:rsidP="005D2CDF">
      <w:pPr>
        <w:spacing w:before="240" w:line="240" w:lineRule="auto"/>
        <w:jc w:val="both"/>
        <w:rPr>
          <w:rFonts w:ascii="Times New Roman" w:eastAsia="Times New Roman" w:hAnsi="Times New Roman" w:cs="Times New Roman"/>
          <w:sz w:val="20"/>
          <w:szCs w:val="24"/>
        </w:rPr>
      </w:pPr>
      <w:r w:rsidRPr="0056450E">
        <w:rPr>
          <w:rFonts w:ascii="Times New Roman" w:eastAsia="Times New Roman" w:hAnsi="Times New Roman" w:cs="Times New Roman"/>
          <w:sz w:val="20"/>
          <w:szCs w:val="24"/>
        </w:rPr>
        <w:t>Corporate governance refers to a set of rules, regulations and mechanisms put in place by a company to provide monitoring and oversight functions on management (</w:t>
      </w:r>
      <w:proofErr w:type="spellStart"/>
      <w:r w:rsidRPr="0056450E">
        <w:rPr>
          <w:rFonts w:ascii="Times New Roman" w:eastAsia="Times New Roman" w:hAnsi="Times New Roman" w:cs="Times New Roman"/>
          <w:sz w:val="20"/>
          <w:szCs w:val="24"/>
        </w:rPr>
        <w:t>Sawicki</w:t>
      </w:r>
      <w:proofErr w:type="spellEnd"/>
      <w:r w:rsidRPr="0056450E">
        <w:rPr>
          <w:rFonts w:ascii="Times New Roman" w:eastAsia="Times New Roman" w:hAnsi="Times New Roman" w:cs="Times New Roman"/>
          <w:sz w:val="20"/>
          <w:szCs w:val="24"/>
        </w:rPr>
        <w:t xml:space="preserve">, 2009). It has been defined by the OECD to be “…the procedures and processes according to which an </w:t>
      </w:r>
      <w:proofErr w:type="spellStart"/>
      <w:r w:rsidRPr="0056450E">
        <w:rPr>
          <w:rFonts w:ascii="Times New Roman" w:eastAsia="Times New Roman" w:hAnsi="Times New Roman" w:cs="Times New Roman"/>
          <w:sz w:val="20"/>
          <w:szCs w:val="24"/>
        </w:rPr>
        <w:t>organisation</w:t>
      </w:r>
      <w:proofErr w:type="spellEnd"/>
      <w:r w:rsidRPr="0056450E">
        <w:rPr>
          <w:rFonts w:ascii="Times New Roman" w:eastAsia="Times New Roman" w:hAnsi="Times New Roman" w:cs="Times New Roman"/>
          <w:sz w:val="20"/>
          <w:szCs w:val="24"/>
        </w:rPr>
        <w:t xml:space="preserve"> is directed and controlled. The corporate governance structure specifies the distribution of rights and responsibilities among the different participants in the </w:t>
      </w:r>
      <w:proofErr w:type="spellStart"/>
      <w:r w:rsidRPr="0056450E">
        <w:rPr>
          <w:rFonts w:ascii="Times New Roman" w:eastAsia="Times New Roman" w:hAnsi="Times New Roman" w:cs="Times New Roman"/>
          <w:sz w:val="20"/>
          <w:szCs w:val="24"/>
        </w:rPr>
        <w:t>organisation</w:t>
      </w:r>
      <w:proofErr w:type="spellEnd"/>
      <w:r w:rsidRPr="0056450E">
        <w:rPr>
          <w:rFonts w:ascii="Times New Roman" w:eastAsia="Times New Roman" w:hAnsi="Times New Roman" w:cs="Times New Roman"/>
          <w:sz w:val="20"/>
          <w:szCs w:val="24"/>
        </w:rPr>
        <w:t xml:space="preserve"> – such as the board, managers, shareholders and other stakeholders – and lays down the rules and procedures for decision-making.” </w:t>
      </w:r>
      <w:proofErr w:type="gramStart"/>
      <w:r w:rsidRPr="0056450E">
        <w:rPr>
          <w:rFonts w:ascii="Times New Roman" w:eastAsia="Times New Roman" w:hAnsi="Times New Roman" w:cs="Times New Roman"/>
          <w:sz w:val="20"/>
          <w:szCs w:val="24"/>
        </w:rPr>
        <w:t>(James, 2023, p. 1).</w:t>
      </w:r>
      <w:proofErr w:type="gramEnd"/>
      <w:r w:rsidRPr="0056450E">
        <w:rPr>
          <w:rFonts w:ascii="Times New Roman" w:eastAsia="Times New Roman" w:hAnsi="Times New Roman" w:cs="Times New Roman"/>
          <w:sz w:val="20"/>
          <w:szCs w:val="24"/>
        </w:rPr>
        <w:t xml:space="preserve"> The role of a good corporate governance system is to provide strategic direction of a firm, ensure overall compliance with corporate regulations, and protect stakeholders’ interest. The board of directors define the firm’s strategy towards corporate social responsibility, tax, wages, and corruption, among other things.</w:t>
      </w:r>
    </w:p>
    <w:p w:rsidR="00D3058A" w:rsidRPr="00235969" w:rsidRDefault="0056450E" w:rsidP="005D2CDF">
      <w:pPr>
        <w:spacing w:line="240" w:lineRule="auto"/>
        <w:ind w:right="567"/>
        <w:jc w:val="both"/>
        <w:rPr>
          <w:rFonts w:ascii="Times New Roman" w:eastAsia="Times" w:hAnsi="Times New Roman" w:cs="Times New Roman"/>
          <w:sz w:val="18"/>
          <w:szCs w:val="18"/>
        </w:rPr>
      </w:pPr>
      <w:r w:rsidRPr="0056450E">
        <w:rPr>
          <w:rFonts w:ascii="Times New Roman" w:eastAsia="Times New Roman" w:hAnsi="Times New Roman" w:cs="Times New Roman"/>
          <w:sz w:val="20"/>
          <w:szCs w:val="24"/>
        </w:rPr>
        <w:t xml:space="preserve">Clark et al. (2014) notes that “good corporate governance strategies can lead to more transparency which ultimately results in lowering the cost of equity, risk, and information asymmetries”. Due to its perceived impact on shareholders’ wealth, the market reacts to firms’ corporate governance mechanisms. Empirical evidence suggests that companies with poor corporate governance structures experience poor operational performance and lower valuation (Clark et al., 2014; </w:t>
      </w:r>
      <w:proofErr w:type="spellStart"/>
      <w:r w:rsidRPr="0056450E">
        <w:rPr>
          <w:rFonts w:ascii="Times New Roman" w:eastAsia="Times New Roman" w:hAnsi="Times New Roman" w:cs="Times New Roman"/>
          <w:sz w:val="20"/>
          <w:szCs w:val="24"/>
        </w:rPr>
        <w:t>Dewi</w:t>
      </w:r>
      <w:proofErr w:type="spellEnd"/>
      <w:r w:rsidRPr="0056450E">
        <w:rPr>
          <w:rFonts w:ascii="Times New Roman" w:eastAsia="Times New Roman" w:hAnsi="Times New Roman" w:cs="Times New Roman"/>
          <w:sz w:val="20"/>
          <w:szCs w:val="24"/>
        </w:rPr>
        <w:t xml:space="preserve"> &amp; </w:t>
      </w:r>
      <w:proofErr w:type="spellStart"/>
      <w:r w:rsidRPr="0056450E">
        <w:rPr>
          <w:rFonts w:ascii="Times New Roman" w:eastAsia="Times New Roman" w:hAnsi="Times New Roman" w:cs="Times New Roman"/>
          <w:sz w:val="20"/>
          <w:szCs w:val="24"/>
        </w:rPr>
        <w:t>Handayani</w:t>
      </w:r>
      <w:proofErr w:type="spellEnd"/>
      <w:r w:rsidRPr="0056450E">
        <w:rPr>
          <w:rFonts w:ascii="Times New Roman" w:eastAsia="Times New Roman" w:hAnsi="Times New Roman" w:cs="Times New Roman"/>
          <w:sz w:val="20"/>
          <w:szCs w:val="24"/>
        </w:rPr>
        <w:t>, 2017). Three factors are commonly used to measure governance disclosure. These factors include corporate strategy, management, and shareholders. These factors generally deal with issues relating to company’s commitments towards adopting global best practices, equality in dealing with shareholders, and employing anti-takeover devices respectively (</w:t>
      </w:r>
      <w:proofErr w:type="spellStart"/>
      <w:r w:rsidRPr="0056450E">
        <w:rPr>
          <w:rFonts w:ascii="Times New Roman" w:eastAsia="Times New Roman" w:hAnsi="Times New Roman" w:cs="Times New Roman"/>
          <w:sz w:val="20"/>
          <w:szCs w:val="24"/>
        </w:rPr>
        <w:t>Pulino</w:t>
      </w:r>
      <w:proofErr w:type="spellEnd"/>
      <w:r w:rsidRPr="0056450E">
        <w:rPr>
          <w:rFonts w:ascii="Times New Roman" w:eastAsia="Times New Roman" w:hAnsi="Times New Roman" w:cs="Times New Roman"/>
          <w:sz w:val="20"/>
          <w:szCs w:val="24"/>
        </w:rPr>
        <w:t xml:space="preserve"> et al., 2022). </w:t>
      </w:r>
    </w:p>
    <w:p w:rsidR="00D3058A" w:rsidRPr="0056450E" w:rsidRDefault="0056450E" w:rsidP="005D2CDF">
      <w:pPr>
        <w:spacing w:before="240" w:line="240" w:lineRule="auto"/>
        <w:jc w:val="both"/>
        <w:rPr>
          <w:rFonts w:ascii="Times New Roman" w:eastAsia="Times New Roman" w:hAnsi="Times New Roman" w:cs="Times New Roman"/>
          <w:sz w:val="20"/>
          <w:szCs w:val="24"/>
        </w:rPr>
      </w:pPr>
      <w:r w:rsidRPr="0056450E">
        <w:rPr>
          <w:rFonts w:ascii="Times New Roman" w:eastAsia="Times New Roman" w:hAnsi="Times New Roman" w:cs="Times New Roman"/>
          <w:sz w:val="20"/>
          <w:szCs w:val="24"/>
        </w:rPr>
        <w:t xml:space="preserve">Conflicting findings are prevalent in the empirical evidence concerning the connection between governance disclosure and stock price reaction. For example, while the results of some studies (like Li et al., 2017; </w:t>
      </w:r>
      <w:proofErr w:type="spellStart"/>
      <w:r w:rsidRPr="0056450E">
        <w:rPr>
          <w:rFonts w:ascii="Times New Roman" w:eastAsia="Times New Roman" w:hAnsi="Times New Roman" w:cs="Times New Roman"/>
          <w:sz w:val="20"/>
          <w:szCs w:val="24"/>
        </w:rPr>
        <w:t>Aboud</w:t>
      </w:r>
      <w:proofErr w:type="spellEnd"/>
      <w:r w:rsidRPr="0056450E">
        <w:rPr>
          <w:rFonts w:ascii="Times New Roman" w:eastAsia="Times New Roman" w:hAnsi="Times New Roman" w:cs="Times New Roman"/>
          <w:sz w:val="20"/>
          <w:szCs w:val="24"/>
        </w:rPr>
        <w:t xml:space="preserve"> &amp; </w:t>
      </w:r>
      <w:proofErr w:type="spellStart"/>
      <w:r w:rsidRPr="0056450E">
        <w:rPr>
          <w:rFonts w:ascii="Times New Roman" w:eastAsia="Times New Roman" w:hAnsi="Times New Roman" w:cs="Times New Roman"/>
          <w:sz w:val="20"/>
          <w:szCs w:val="24"/>
        </w:rPr>
        <w:t>Diab</w:t>
      </w:r>
      <w:proofErr w:type="spellEnd"/>
      <w:r w:rsidRPr="0056450E">
        <w:rPr>
          <w:rFonts w:ascii="Times New Roman" w:eastAsia="Times New Roman" w:hAnsi="Times New Roman" w:cs="Times New Roman"/>
          <w:sz w:val="20"/>
          <w:szCs w:val="24"/>
        </w:rPr>
        <w:t xml:space="preserve">, 2018; Rossi &amp; </w:t>
      </w:r>
      <w:proofErr w:type="spellStart"/>
      <w:r w:rsidRPr="0056450E">
        <w:rPr>
          <w:rFonts w:ascii="Times New Roman" w:eastAsia="Times New Roman" w:hAnsi="Times New Roman" w:cs="Times New Roman"/>
          <w:sz w:val="20"/>
          <w:szCs w:val="24"/>
        </w:rPr>
        <w:t>Harjoto</w:t>
      </w:r>
      <w:proofErr w:type="spellEnd"/>
      <w:r w:rsidRPr="0056450E">
        <w:rPr>
          <w:rFonts w:ascii="Times New Roman" w:eastAsia="Times New Roman" w:hAnsi="Times New Roman" w:cs="Times New Roman"/>
          <w:sz w:val="20"/>
          <w:szCs w:val="24"/>
        </w:rPr>
        <w:t xml:space="preserve">, 2020; Xu et al., 2020; </w:t>
      </w:r>
      <w:proofErr w:type="spellStart"/>
      <w:r w:rsidRPr="0056450E">
        <w:rPr>
          <w:rFonts w:ascii="Times New Roman" w:eastAsia="Times New Roman" w:hAnsi="Times New Roman" w:cs="Times New Roman"/>
          <w:sz w:val="20"/>
          <w:szCs w:val="24"/>
        </w:rPr>
        <w:t>Arif</w:t>
      </w:r>
      <w:proofErr w:type="spellEnd"/>
      <w:r w:rsidRPr="0056450E">
        <w:rPr>
          <w:rFonts w:ascii="Times New Roman" w:eastAsia="Times New Roman" w:hAnsi="Times New Roman" w:cs="Times New Roman"/>
          <w:sz w:val="20"/>
          <w:szCs w:val="24"/>
        </w:rPr>
        <w:t xml:space="preserve"> et al., 2022; </w:t>
      </w:r>
      <w:proofErr w:type="spellStart"/>
      <w:r w:rsidRPr="0056450E">
        <w:rPr>
          <w:rFonts w:ascii="Times New Roman" w:eastAsia="Times New Roman" w:hAnsi="Times New Roman" w:cs="Times New Roman"/>
          <w:sz w:val="20"/>
          <w:szCs w:val="24"/>
        </w:rPr>
        <w:t>Widiatmoko</w:t>
      </w:r>
      <w:proofErr w:type="spellEnd"/>
      <w:r w:rsidRPr="0056450E">
        <w:rPr>
          <w:rFonts w:ascii="Times New Roman" w:eastAsia="Times New Roman" w:hAnsi="Times New Roman" w:cs="Times New Roman"/>
          <w:sz w:val="20"/>
          <w:szCs w:val="24"/>
        </w:rPr>
        <w:t xml:space="preserve"> et al., 2020) indicate a positive correlation between the extent of ESG disclosure and firm value, others like </w:t>
      </w:r>
      <w:proofErr w:type="spellStart"/>
      <w:r w:rsidRPr="0056450E">
        <w:rPr>
          <w:rFonts w:ascii="Times New Roman" w:eastAsia="Times New Roman" w:hAnsi="Times New Roman" w:cs="Times New Roman"/>
          <w:sz w:val="20"/>
          <w:szCs w:val="24"/>
        </w:rPr>
        <w:t>Fatemi</w:t>
      </w:r>
      <w:proofErr w:type="spellEnd"/>
      <w:r w:rsidRPr="0056450E">
        <w:rPr>
          <w:rFonts w:ascii="Times New Roman" w:eastAsia="Times New Roman" w:hAnsi="Times New Roman" w:cs="Times New Roman"/>
          <w:sz w:val="20"/>
          <w:szCs w:val="24"/>
        </w:rPr>
        <w:t xml:space="preserve"> et al. (2017) and </w:t>
      </w:r>
      <w:proofErr w:type="spellStart"/>
      <w:r w:rsidRPr="0056450E">
        <w:rPr>
          <w:rFonts w:ascii="Times New Roman" w:eastAsia="Times New Roman" w:hAnsi="Times New Roman" w:cs="Times New Roman"/>
          <w:sz w:val="20"/>
          <w:szCs w:val="24"/>
        </w:rPr>
        <w:t>Cordazzo</w:t>
      </w:r>
      <w:proofErr w:type="spellEnd"/>
      <w:r w:rsidRPr="0056450E">
        <w:rPr>
          <w:rFonts w:ascii="Times New Roman" w:eastAsia="Times New Roman" w:hAnsi="Times New Roman" w:cs="Times New Roman"/>
          <w:sz w:val="20"/>
          <w:szCs w:val="24"/>
        </w:rPr>
        <w:t xml:space="preserve"> et al. (2020). For example, </w:t>
      </w:r>
      <w:proofErr w:type="spellStart"/>
      <w:r w:rsidRPr="0056450E">
        <w:rPr>
          <w:rFonts w:ascii="Times New Roman" w:eastAsia="Times New Roman" w:hAnsi="Times New Roman" w:cs="Times New Roman"/>
          <w:sz w:val="20"/>
          <w:szCs w:val="24"/>
        </w:rPr>
        <w:t>Fatemi</w:t>
      </w:r>
      <w:proofErr w:type="spellEnd"/>
      <w:r w:rsidRPr="0056450E">
        <w:rPr>
          <w:rFonts w:ascii="Times New Roman" w:eastAsia="Times New Roman" w:hAnsi="Times New Roman" w:cs="Times New Roman"/>
          <w:sz w:val="20"/>
          <w:szCs w:val="24"/>
        </w:rPr>
        <w:t xml:space="preserve"> </w:t>
      </w:r>
      <w:r w:rsidRPr="0056450E">
        <w:rPr>
          <w:rFonts w:ascii="Times New Roman" w:eastAsia="Times New Roman" w:hAnsi="Times New Roman" w:cs="Times New Roman"/>
          <w:sz w:val="20"/>
          <w:szCs w:val="24"/>
        </w:rPr>
        <w:lastRenderedPageBreak/>
        <w:t xml:space="preserve">et al.’s (2017) investigation of 403 companies listed in the United States between 2006 and 2011 demonstrated that even though ESG strengths had a positive impact on the value of firms and their weaknesses were associated with a negative effect, the act of disclosing ESG information itself resulted in a decrease in firm valuation. Yoon, Lee and Byun (2018) however added a caveat to these findings. In their study of the relationship between ESG performance and firm value using data from companies listed on the Korean Stock Exchange, they found that the effect of CSR practices on the share prices of firms depended on firm characteristics and environmental sensitivity. This is reinforced by </w:t>
      </w:r>
      <w:proofErr w:type="spellStart"/>
      <w:r w:rsidRPr="0056450E">
        <w:rPr>
          <w:rFonts w:ascii="Times New Roman" w:eastAsia="Times New Roman" w:hAnsi="Times New Roman" w:cs="Times New Roman"/>
          <w:sz w:val="20"/>
          <w:szCs w:val="24"/>
        </w:rPr>
        <w:t>Miralles-Quiros</w:t>
      </w:r>
      <w:proofErr w:type="spellEnd"/>
      <w:r w:rsidRPr="0056450E">
        <w:rPr>
          <w:rFonts w:ascii="Times New Roman" w:eastAsia="Times New Roman" w:hAnsi="Times New Roman" w:cs="Times New Roman"/>
          <w:sz w:val="20"/>
          <w:szCs w:val="24"/>
        </w:rPr>
        <w:t xml:space="preserve"> et al.’s (2018), whose study of 51 commercial banks from 20 stock exchanges, showed that the significance of ESG performance in relation to value was notably higher for banks situated in countries with a legal system based on common law, particularly in the aftermath of the global financial crisis.</w:t>
      </w:r>
    </w:p>
    <w:p w:rsidR="00D3058A" w:rsidRPr="0056450E" w:rsidRDefault="0056450E" w:rsidP="005D2CDF">
      <w:pPr>
        <w:spacing w:before="240" w:line="240" w:lineRule="auto"/>
        <w:jc w:val="both"/>
        <w:rPr>
          <w:rFonts w:ascii="Times New Roman" w:eastAsia="Times New Roman" w:hAnsi="Times New Roman" w:cs="Times New Roman"/>
          <w:sz w:val="20"/>
          <w:szCs w:val="24"/>
        </w:rPr>
      </w:pPr>
      <w:r w:rsidRPr="0056450E">
        <w:rPr>
          <w:rFonts w:ascii="Times New Roman" w:eastAsia="Times New Roman" w:hAnsi="Times New Roman" w:cs="Times New Roman"/>
          <w:sz w:val="20"/>
          <w:szCs w:val="24"/>
        </w:rPr>
        <w:t xml:space="preserve">Various studies have also considered the moderating role of other variables like </w:t>
      </w:r>
      <w:proofErr w:type="spellStart"/>
      <w:r w:rsidRPr="0056450E">
        <w:rPr>
          <w:rFonts w:ascii="Times New Roman" w:eastAsia="Times New Roman" w:hAnsi="Times New Roman" w:cs="Times New Roman"/>
          <w:sz w:val="20"/>
          <w:szCs w:val="24"/>
        </w:rPr>
        <w:t>organisational</w:t>
      </w:r>
      <w:proofErr w:type="spellEnd"/>
      <w:r w:rsidRPr="0056450E">
        <w:rPr>
          <w:rFonts w:ascii="Times New Roman" w:eastAsia="Times New Roman" w:hAnsi="Times New Roman" w:cs="Times New Roman"/>
          <w:sz w:val="20"/>
          <w:szCs w:val="24"/>
        </w:rPr>
        <w:t xml:space="preserve"> performance, firm size, leverage, etc. One such study in this regard is that by </w:t>
      </w:r>
      <w:proofErr w:type="spellStart"/>
      <w:r w:rsidRPr="0056450E">
        <w:rPr>
          <w:rFonts w:ascii="Times New Roman" w:eastAsia="Times New Roman" w:hAnsi="Times New Roman" w:cs="Times New Roman"/>
          <w:sz w:val="20"/>
          <w:szCs w:val="24"/>
        </w:rPr>
        <w:t>Shakil</w:t>
      </w:r>
      <w:proofErr w:type="spellEnd"/>
      <w:r w:rsidRPr="0056450E">
        <w:rPr>
          <w:rFonts w:ascii="Times New Roman" w:eastAsia="Times New Roman" w:hAnsi="Times New Roman" w:cs="Times New Roman"/>
          <w:sz w:val="20"/>
          <w:szCs w:val="24"/>
        </w:rPr>
        <w:t xml:space="preserve"> (2020), which explored the moderating role of firm size in the relationship between ESG disclosure and </w:t>
      </w:r>
      <w:proofErr w:type="spellStart"/>
      <w:r w:rsidRPr="0056450E">
        <w:rPr>
          <w:rFonts w:ascii="Times New Roman" w:eastAsia="Times New Roman" w:hAnsi="Times New Roman" w:cs="Times New Roman"/>
          <w:sz w:val="20"/>
          <w:szCs w:val="24"/>
        </w:rPr>
        <w:t>organisational</w:t>
      </w:r>
      <w:proofErr w:type="spellEnd"/>
      <w:r w:rsidRPr="0056450E">
        <w:rPr>
          <w:rFonts w:ascii="Times New Roman" w:eastAsia="Times New Roman" w:hAnsi="Times New Roman" w:cs="Times New Roman"/>
          <w:sz w:val="20"/>
          <w:szCs w:val="24"/>
        </w:rPr>
        <w:t xml:space="preserve"> performance. The results indicated that ESG performance unfavorably affected stock volatility, with firm size playing a significant role in moderating this association. Similarly, </w:t>
      </w:r>
      <w:proofErr w:type="spellStart"/>
      <w:r w:rsidRPr="0056450E">
        <w:rPr>
          <w:rFonts w:ascii="Times New Roman" w:eastAsia="Times New Roman" w:hAnsi="Times New Roman" w:cs="Times New Roman"/>
          <w:sz w:val="20"/>
          <w:szCs w:val="24"/>
        </w:rPr>
        <w:t>Pulino</w:t>
      </w:r>
      <w:proofErr w:type="spellEnd"/>
      <w:r w:rsidRPr="0056450E">
        <w:rPr>
          <w:rFonts w:ascii="Times New Roman" w:eastAsia="Times New Roman" w:hAnsi="Times New Roman" w:cs="Times New Roman"/>
          <w:sz w:val="20"/>
          <w:szCs w:val="24"/>
        </w:rPr>
        <w:t xml:space="preserve"> et al. (2022) looked into how </w:t>
      </w:r>
      <w:proofErr w:type="spellStart"/>
      <w:r w:rsidRPr="0056450E">
        <w:rPr>
          <w:rFonts w:ascii="Times New Roman" w:eastAsia="Times New Roman" w:hAnsi="Times New Roman" w:cs="Times New Roman"/>
          <w:sz w:val="20"/>
          <w:szCs w:val="24"/>
        </w:rPr>
        <w:t>organisational</w:t>
      </w:r>
      <w:proofErr w:type="spellEnd"/>
      <w:r w:rsidRPr="0056450E">
        <w:rPr>
          <w:rFonts w:ascii="Times New Roman" w:eastAsia="Times New Roman" w:hAnsi="Times New Roman" w:cs="Times New Roman"/>
          <w:sz w:val="20"/>
          <w:szCs w:val="24"/>
        </w:rPr>
        <w:t xml:space="preserve"> performance moderates the relationship between ESG practices and firm price, and found that there was a positive effect of disclosing information related to ESG on financial performance.</w:t>
      </w:r>
    </w:p>
    <w:p w:rsidR="00D3058A" w:rsidRPr="0056450E" w:rsidRDefault="0056450E" w:rsidP="005D2CDF">
      <w:pPr>
        <w:spacing w:before="240" w:line="240" w:lineRule="auto"/>
        <w:jc w:val="both"/>
        <w:rPr>
          <w:rFonts w:ascii="Times New Roman" w:eastAsia="Times New Roman" w:hAnsi="Times New Roman" w:cs="Times New Roman"/>
          <w:sz w:val="20"/>
          <w:szCs w:val="24"/>
        </w:rPr>
      </w:pPr>
      <w:r w:rsidRPr="0056450E">
        <w:rPr>
          <w:rFonts w:ascii="Times New Roman" w:eastAsia="Times New Roman" w:hAnsi="Times New Roman" w:cs="Times New Roman"/>
          <w:sz w:val="20"/>
          <w:szCs w:val="24"/>
        </w:rPr>
        <w:t>Overall, the literature reveals mixed findings on the relationship between governance disclosure and stock price reaction, among other corporate outcomes, underscoring the importance of context, disclosure types, and firm characteristics. Further research is needed to clarify these complex interactions and provide a more comprehensive understanding of the role of governance disclosure in corporate performance.</w:t>
      </w:r>
    </w:p>
    <w:p w:rsidR="00D3058A" w:rsidRDefault="00D3058A">
      <w:pPr>
        <w:pBdr>
          <w:top w:val="nil"/>
          <w:left w:val="nil"/>
          <w:bottom w:val="nil"/>
          <w:right w:val="nil"/>
          <w:between w:val="nil"/>
        </w:pBdr>
        <w:spacing w:before="240" w:after="0" w:line="276" w:lineRule="auto"/>
        <w:jc w:val="both"/>
        <w:rPr>
          <w:rFonts w:ascii="Times New Roman" w:eastAsia="Times New Roman" w:hAnsi="Times New Roman" w:cs="Times New Roman"/>
          <w:color w:val="000000"/>
          <w:sz w:val="24"/>
          <w:szCs w:val="24"/>
        </w:rPr>
      </w:pPr>
    </w:p>
    <w:p w:rsidR="00D3058A" w:rsidRPr="0056450E" w:rsidRDefault="0056450E" w:rsidP="0056450E">
      <w:pPr>
        <w:pStyle w:val="ListParagraph"/>
        <w:numPr>
          <w:ilvl w:val="0"/>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b/>
          <w:color w:val="000000"/>
          <w:sz w:val="24"/>
          <w:szCs w:val="24"/>
        </w:rPr>
      </w:pPr>
      <w:r w:rsidRPr="0056450E">
        <w:rPr>
          <w:rFonts w:ascii="Times New Roman" w:eastAsia="Times New Roman" w:hAnsi="Times New Roman" w:cs="Times New Roman"/>
          <w:b/>
          <w:color w:val="000000"/>
          <w:sz w:val="24"/>
          <w:szCs w:val="24"/>
        </w:rPr>
        <w:t xml:space="preserve">Theoretical Framework </w:t>
      </w:r>
    </w:p>
    <w:p w:rsidR="00D3058A" w:rsidRDefault="0056450E" w:rsidP="005D2CDF">
      <w:pPr>
        <w:spacing w:before="240" w:line="240" w:lineRule="auto"/>
        <w:jc w:val="both"/>
        <w:rPr>
          <w:rFonts w:ascii="Times New Roman" w:eastAsia="Times New Roman" w:hAnsi="Times New Roman" w:cs="Times New Roman"/>
          <w:sz w:val="20"/>
          <w:szCs w:val="24"/>
        </w:rPr>
      </w:pPr>
      <w:r w:rsidRPr="0056450E">
        <w:rPr>
          <w:rFonts w:ascii="Times New Roman" w:eastAsia="Times New Roman" w:hAnsi="Times New Roman" w:cs="Times New Roman"/>
          <w:sz w:val="20"/>
          <w:szCs w:val="24"/>
        </w:rPr>
        <w:t xml:space="preserve">To help us understand how corporate governance impacts on stock price reaction, this study relies on the stewardship theory, the agency theory and the efficient market hypothesis. The stewardship theory is built on the assumptions concerning human nature; as in, whether or not humans can be trusted to act responsibly, be honest and have integrity. According to the stewardship theory, the fiduciary relationship desired by the shareholders implies that this is the case (Chrisman, 2019; Cater et al., 2019; Till &amp; </w:t>
      </w:r>
      <w:proofErr w:type="spellStart"/>
      <w:r w:rsidRPr="0056450E">
        <w:rPr>
          <w:rFonts w:ascii="Times New Roman" w:eastAsia="Times New Roman" w:hAnsi="Times New Roman" w:cs="Times New Roman"/>
          <w:sz w:val="20"/>
          <w:szCs w:val="24"/>
        </w:rPr>
        <w:t>Yount</w:t>
      </w:r>
      <w:proofErr w:type="spellEnd"/>
      <w:r w:rsidRPr="0056450E">
        <w:rPr>
          <w:rFonts w:ascii="Times New Roman" w:eastAsia="Times New Roman" w:hAnsi="Times New Roman" w:cs="Times New Roman"/>
          <w:sz w:val="20"/>
          <w:szCs w:val="24"/>
        </w:rPr>
        <w:t>, 2019; Pacheco, 2019). In essence, the stewardship theory holds the view that shareholders believe that the management is trustworthy enough to act in their best interest (</w:t>
      </w:r>
      <w:proofErr w:type="spellStart"/>
      <w:r w:rsidRPr="0056450E">
        <w:rPr>
          <w:rFonts w:ascii="Times New Roman" w:eastAsia="Times New Roman" w:hAnsi="Times New Roman" w:cs="Times New Roman"/>
          <w:sz w:val="20"/>
          <w:szCs w:val="24"/>
        </w:rPr>
        <w:t>Juanamasta</w:t>
      </w:r>
      <w:proofErr w:type="spellEnd"/>
      <w:r w:rsidRPr="0056450E">
        <w:rPr>
          <w:rFonts w:ascii="Times New Roman" w:eastAsia="Times New Roman" w:hAnsi="Times New Roman" w:cs="Times New Roman"/>
          <w:sz w:val="20"/>
          <w:szCs w:val="24"/>
        </w:rPr>
        <w:t xml:space="preserve"> et al., 2019). </w:t>
      </w:r>
    </w:p>
    <w:p w:rsidR="00D3058A" w:rsidRPr="0056450E" w:rsidRDefault="0056450E" w:rsidP="005D2CDF">
      <w:pPr>
        <w:spacing w:before="240" w:line="240" w:lineRule="auto"/>
        <w:jc w:val="both"/>
        <w:rPr>
          <w:rFonts w:ascii="Times New Roman" w:eastAsia="Times New Roman" w:hAnsi="Times New Roman" w:cs="Times New Roman"/>
          <w:sz w:val="20"/>
          <w:szCs w:val="24"/>
        </w:rPr>
      </w:pPr>
      <w:r w:rsidRPr="0056450E">
        <w:rPr>
          <w:rFonts w:ascii="Times New Roman" w:eastAsia="Times New Roman" w:hAnsi="Times New Roman" w:cs="Times New Roman"/>
          <w:sz w:val="20"/>
          <w:szCs w:val="24"/>
        </w:rPr>
        <w:t xml:space="preserve">Interestingly though, Jensen and </w:t>
      </w:r>
      <w:proofErr w:type="spellStart"/>
      <w:r w:rsidRPr="0056450E">
        <w:rPr>
          <w:rFonts w:ascii="Times New Roman" w:eastAsia="Times New Roman" w:hAnsi="Times New Roman" w:cs="Times New Roman"/>
          <w:sz w:val="20"/>
          <w:szCs w:val="24"/>
        </w:rPr>
        <w:t>Meckling</w:t>
      </w:r>
      <w:proofErr w:type="spellEnd"/>
      <w:r w:rsidRPr="0056450E">
        <w:rPr>
          <w:rFonts w:ascii="Times New Roman" w:eastAsia="Times New Roman" w:hAnsi="Times New Roman" w:cs="Times New Roman"/>
          <w:sz w:val="20"/>
          <w:szCs w:val="24"/>
        </w:rPr>
        <w:t xml:space="preserve"> (1976) agency theory holds a different view, that the firm’s management, which is supposed to act as an agent for shareholders, rather acted in his own interests and not the interest of the shareholders as assumed by the stewardship theory. According to the agency theory, the management cannot be trusted to act in the public, or shareholders’, best interest. And this essentially means that the management cannot be trusted to maximize shareholder value, which is the job they have been tasked to do (</w:t>
      </w:r>
      <w:proofErr w:type="spellStart"/>
      <w:r w:rsidRPr="0056450E">
        <w:rPr>
          <w:rFonts w:ascii="Times New Roman" w:eastAsia="Times New Roman" w:hAnsi="Times New Roman" w:cs="Times New Roman"/>
          <w:sz w:val="20"/>
          <w:szCs w:val="24"/>
        </w:rPr>
        <w:t>Gazali</w:t>
      </w:r>
      <w:proofErr w:type="spellEnd"/>
      <w:r w:rsidRPr="0056450E">
        <w:rPr>
          <w:rFonts w:ascii="Times New Roman" w:eastAsia="Times New Roman" w:hAnsi="Times New Roman" w:cs="Times New Roman"/>
          <w:sz w:val="20"/>
          <w:szCs w:val="24"/>
        </w:rPr>
        <w:t xml:space="preserve"> et al., 2020; </w:t>
      </w:r>
      <w:proofErr w:type="spellStart"/>
      <w:r w:rsidRPr="0056450E">
        <w:rPr>
          <w:rFonts w:ascii="Times New Roman" w:eastAsia="Times New Roman" w:hAnsi="Times New Roman" w:cs="Times New Roman"/>
          <w:sz w:val="20"/>
          <w:szCs w:val="24"/>
        </w:rPr>
        <w:t>Rusdiyanto</w:t>
      </w:r>
      <w:proofErr w:type="spellEnd"/>
      <w:r w:rsidRPr="0056450E">
        <w:rPr>
          <w:rFonts w:ascii="Times New Roman" w:eastAsia="Times New Roman" w:hAnsi="Times New Roman" w:cs="Times New Roman"/>
          <w:sz w:val="20"/>
          <w:szCs w:val="24"/>
        </w:rPr>
        <w:t xml:space="preserve"> &amp; </w:t>
      </w:r>
      <w:proofErr w:type="spellStart"/>
      <w:r w:rsidRPr="0056450E">
        <w:rPr>
          <w:rFonts w:ascii="Times New Roman" w:eastAsia="Times New Roman" w:hAnsi="Times New Roman" w:cs="Times New Roman"/>
          <w:sz w:val="20"/>
          <w:szCs w:val="24"/>
        </w:rPr>
        <w:t>Narsa</w:t>
      </w:r>
      <w:proofErr w:type="spellEnd"/>
      <w:r w:rsidRPr="0056450E">
        <w:rPr>
          <w:rFonts w:ascii="Times New Roman" w:eastAsia="Times New Roman" w:hAnsi="Times New Roman" w:cs="Times New Roman"/>
          <w:sz w:val="20"/>
          <w:szCs w:val="24"/>
        </w:rPr>
        <w:t>, 2019).</w:t>
      </w:r>
    </w:p>
    <w:p w:rsidR="00D3058A" w:rsidRPr="0056450E" w:rsidRDefault="0056450E" w:rsidP="005D2CDF">
      <w:pPr>
        <w:spacing w:before="240" w:line="240" w:lineRule="auto"/>
        <w:jc w:val="both"/>
        <w:rPr>
          <w:rFonts w:ascii="Times New Roman" w:eastAsia="Times New Roman" w:hAnsi="Times New Roman" w:cs="Times New Roman"/>
          <w:sz w:val="20"/>
          <w:szCs w:val="24"/>
        </w:rPr>
      </w:pPr>
      <w:r w:rsidRPr="0056450E">
        <w:rPr>
          <w:rFonts w:ascii="Times New Roman" w:eastAsia="Times New Roman" w:hAnsi="Times New Roman" w:cs="Times New Roman"/>
          <w:sz w:val="20"/>
          <w:szCs w:val="24"/>
        </w:rPr>
        <w:t xml:space="preserve">A third theory for this study is the efficient market hypothesis (EMH). As </w:t>
      </w:r>
      <w:proofErr w:type="spellStart"/>
      <w:r w:rsidRPr="0056450E">
        <w:rPr>
          <w:rFonts w:ascii="Times New Roman" w:eastAsia="Times New Roman" w:hAnsi="Times New Roman" w:cs="Times New Roman"/>
          <w:sz w:val="20"/>
          <w:szCs w:val="24"/>
        </w:rPr>
        <w:t>Aktan</w:t>
      </w:r>
      <w:proofErr w:type="spellEnd"/>
      <w:r w:rsidRPr="0056450E">
        <w:rPr>
          <w:rFonts w:ascii="Times New Roman" w:eastAsia="Times New Roman" w:hAnsi="Times New Roman" w:cs="Times New Roman"/>
          <w:sz w:val="20"/>
          <w:szCs w:val="24"/>
        </w:rPr>
        <w:t xml:space="preserve"> et al. (2018) have pointed out, investors are always on the lookout for ways to increase their gains, and for this reason have one common issue with regard to stock markets, which is the degree of efficiency of these markets. A stock market’s informational efficiency is a reflection of the extent to which its financial assets prices adapt to incoming information. The more informationally efficient a market is, the more quickly it reflects incoming information (Lim &amp; Brooks, 2009). The EMH is the theory behind information efficiency. One of its presuppositions is that stock prices adjust to their fair market value in reaction to new information by either increasing or decreasing, thereby making stock price movements random, in what has been referred to as the “Random Walk Hypothesis” (RWH) (</w:t>
      </w:r>
      <w:proofErr w:type="spellStart"/>
      <w:r w:rsidRPr="0056450E">
        <w:rPr>
          <w:rFonts w:ascii="Times New Roman" w:eastAsia="Times New Roman" w:hAnsi="Times New Roman" w:cs="Times New Roman"/>
          <w:sz w:val="20"/>
          <w:szCs w:val="24"/>
        </w:rPr>
        <w:t>Bodie</w:t>
      </w:r>
      <w:proofErr w:type="spellEnd"/>
      <w:r w:rsidRPr="0056450E">
        <w:rPr>
          <w:rFonts w:ascii="Times New Roman" w:eastAsia="Times New Roman" w:hAnsi="Times New Roman" w:cs="Times New Roman"/>
          <w:sz w:val="20"/>
          <w:szCs w:val="24"/>
        </w:rPr>
        <w:t xml:space="preserve"> et al., 2003; </w:t>
      </w:r>
      <w:proofErr w:type="spellStart"/>
      <w:r w:rsidRPr="0056450E">
        <w:rPr>
          <w:rFonts w:ascii="Times New Roman" w:eastAsia="Times New Roman" w:hAnsi="Times New Roman" w:cs="Times New Roman"/>
          <w:sz w:val="20"/>
          <w:szCs w:val="24"/>
        </w:rPr>
        <w:t>Aktan</w:t>
      </w:r>
      <w:proofErr w:type="spellEnd"/>
      <w:r w:rsidRPr="0056450E">
        <w:rPr>
          <w:rFonts w:ascii="Times New Roman" w:eastAsia="Times New Roman" w:hAnsi="Times New Roman" w:cs="Times New Roman"/>
          <w:sz w:val="20"/>
          <w:szCs w:val="24"/>
        </w:rPr>
        <w:t xml:space="preserve"> et al., 2018). The EMH and the RWH are closely related as both promote the idea that prices immediately capture new information (</w:t>
      </w:r>
      <w:proofErr w:type="spellStart"/>
      <w:r w:rsidRPr="0056450E">
        <w:rPr>
          <w:rFonts w:ascii="Times New Roman" w:eastAsia="Times New Roman" w:hAnsi="Times New Roman" w:cs="Times New Roman"/>
          <w:sz w:val="20"/>
          <w:szCs w:val="24"/>
        </w:rPr>
        <w:t>Malkiel</w:t>
      </w:r>
      <w:proofErr w:type="spellEnd"/>
      <w:r w:rsidRPr="0056450E">
        <w:rPr>
          <w:rFonts w:ascii="Times New Roman" w:eastAsia="Times New Roman" w:hAnsi="Times New Roman" w:cs="Times New Roman"/>
          <w:sz w:val="20"/>
          <w:szCs w:val="24"/>
        </w:rPr>
        <w:t xml:space="preserve">, 2003), as in react to new information. What this therefore loosely implies is that it will not be beneficial for the investor to </w:t>
      </w:r>
      <w:proofErr w:type="spellStart"/>
      <w:r w:rsidRPr="0056450E">
        <w:rPr>
          <w:rFonts w:ascii="Times New Roman" w:eastAsia="Times New Roman" w:hAnsi="Times New Roman" w:cs="Times New Roman"/>
          <w:sz w:val="20"/>
          <w:szCs w:val="24"/>
        </w:rPr>
        <w:t>analyse</w:t>
      </w:r>
      <w:proofErr w:type="spellEnd"/>
      <w:r w:rsidRPr="0056450E">
        <w:rPr>
          <w:rFonts w:ascii="Times New Roman" w:eastAsia="Times New Roman" w:hAnsi="Times New Roman" w:cs="Times New Roman"/>
          <w:sz w:val="20"/>
          <w:szCs w:val="24"/>
        </w:rPr>
        <w:t xml:space="preserve"> a company’s financial information, or study past stock prices.</w:t>
      </w:r>
    </w:p>
    <w:p w:rsidR="00D3058A" w:rsidRDefault="00D3058A">
      <w:pPr>
        <w:spacing w:line="276" w:lineRule="auto"/>
        <w:jc w:val="both"/>
        <w:rPr>
          <w:rFonts w:ascii="Times New Roman" w:eastAsia="Times New Roman" w:hAnsi="Times New Roman" w:cs="Times New Roman"/>
          <w:b/>
          <w:sz w:val="24"/>
          <w:szCs w:val="24"/>
        </w:rPr>
      </w:pPr>
    </w:p>
    <w:p w:rsidR="00D3058A" w:rsidRDefault="0056450E" w:rsidP="0056450E">
      <w:pPr>
        <w:numPr>
          <w:ilvl w:val="0"/>
          <w:numId w:val="2"/>
        </w:numPr>
        <w:pBdr>
          <w:top w:val="nil"/>
          <w:left w:val="nil"/>
          <w:bottom w:val="nil"/>
          <w:right w:val="nil"/>
          <w:between w:val="nil"/>
        </w:pBdr>
        <w:spacing w:line="276"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Research method</w:t>
      </w:r>
    </w:p>
    <w:p w:rsidR="00D3058A" w:rsidRPr="0056450E" w:rsidRDefault="0056450E" w:rsidP="005D2CDF">
      <w:pPr>
        <w:spacing w:line="240" w:lineRule="auto"/>
        <w:jc w:val="both"/>
        <w:rPr>
          <w:rFonts w:ascii="Times New Roman" w:eastAsia="Times New Roman" w:hAnsi="Times New Roman" w:cs="Times New Roman"/>
          <w:sz w:val="20"/>
          <w:szCs w:val="24"/>
        </w:rPr>
      </w:pPr>
      <w:r w:rsidRPr="0056450E">
        <w:rPr>
          <w:rFonts w:ascii="Times New Roman" w:eastAsia="Times New Roman" w:hAnsi="Times New Roman" w:cs="Times New Roman"/>
          <w:sz w:val="20"/>
          <w:szCs w:val="24"/>
        </w:rPr>
        <w:t>The study adopted a longitudinal research design to establish the impact of corporate governance disclosure on the stock prices of listed consumer goods firms in the Nigeria Stock Exchange (NSE) for the period 2014-2021. All the 28 consumer goods firms listed on the NSE in December 2021 make up the population of the study, but only 16 of these firms whose reports show corporate governance disclosures during the period of study have been taken as sample for the study (see appendix 1). These 16 firms have produced a combined 144 firm-year observations.</w:t>
      </w:r>
    </w:p>
    <w:p w:rsidR="00D3058A" w:rsidRPr="0056450E" w:rsidRDefault="0056450E" w:rsidP="005D2CDF">
      <w:pPr>
        <w:spacing w:line="240" w:lineRule="auto"/>
        <w:jc w:val="both"/>
        <w:rPr>
          <w:rFonts w:ascii="Times New Roman" w:eastAsia="Times New Roman" w:hAnsi="Times New Roman" w:cs="Times New Roman"/>
          <w:sz w:val="20"/>
          <w:szCs w:val="24"/>
        </w:rPr>
      </w:pPr>
      <w:r w:rsidRPr="0056450E">
        <w:rPr>
          <w:rFonts w:ascii="Times New Roman" w:eastAsia="Times New Roman" w:hAnsi="Times New Roman" w:cs="Times New Roman"/>
          <w:sz w:val="20"/>
          <w:szCs w:val="24"/>
        </w:rPr>
        <w:t>The study used secondary data. While the data on corporate governance disclosure was collected from the Bloomberg database, the annual and financial reports of the firms provided the data for all other variables of the study, except the stock prices of firms that were collected from the NSE website.</w:t>
      </w:r>
    </w:p>
    <w:p w:rsidR="00D3058A" w:rsidRPr="0056450E" w:rsidRDefault="0056450E" w:rsidP="005D2CDF">
      <w:pPr>
        <w:spacing w:line="240" w:lineRule="auto"/>
        <w:jc w:val="both"/>
        <w:rPr>
          <w:rFonts w:ascii="Times New Roman" w:eastAsia="Times New Roman" w:hAnsi="Times New Roman" w:cs="Times New Roman"/>
          <w:sz w:val="20"/>
          <w:szCs w:val="24"/>
        </w:rPr>
      </w:pPr>
      <w:r w:rsidRPr="0056450E">
        <w:rPr>
          <w:rFonts w:ascii="Times New Roman" w:eastAsia="Times New Roman" w:hAnsi="Times New Roman" w:cs="Times New Roman"/>
          <w:sz w:val="20"/>
          <w:szCs w:val="24"/>
        </w:rPr>
        <w:t>The major independent variable of the study is corporate governance disclosure (CGD), while the dependent variable is the stock price reaction (SPR), and firm size (FS) measured by total assets of the firm (Rita et al., 2013), leverage (L) measured by dividing the total firm assets by the total debt (</w:t>
      </w:r>
      <w:proofErr w:type="spellStart"/>
      <w:r w:rsidRPr="0056450E">
        <w:rPr>
          <w:rFonts w:ascii="Times New Roman" w:eastAsia="Times New Roman" w:hAnsi="Times New Roman" w:cs="Times New Roman"/>
          <w:sz w:val="20"/>
          <w:szCs w:val="24"/>
        </w:rPr>
        <w:t>Ambarwati</w:t>
      </w:r>
      <w:proofErr w:type="spellEnd"/>
      <w:r w:rsidRPr="0056450E">
        <w:rPr>
          <w:rFonts w:ascii="Times New Roman" w:eastAsia="Times New Roman" w:hAnsi="Times New Roman" w:cs="Times New Roman"/>
          <w:sz w:val="20"/>
          <w:szCs w:val="24"/>
        </w:rPr>
        <w:t xml:space="preserve"> &amp; </w:t>
      </w:r>
      <w:proofErr w:type="spellStart"/>
      <w:r w:rsidRPr="0056450E">
        <w:rPr>
          <w:rFonts w:ascii="Times New Roman" w:eastAsia="Times New Roman" w:hAnsi="Times New Roman" w:cs="Times New Roman"/>
          <w:sz w:val="20"/>
          <w:szCs w:val="24"/>
        </w:rPr>
        <w:t>Dawa</w:t>
      </w:r>
      <w:proofErr w:type="spellEnd"/>
      <w:r w:rsidRPr="0056450E">
        <w:rPr>
          <w:rFonts w:ascii="Times New Roman" w:eastAsia="Times New Roman" w:hAnsi="Times New Roman" w:cs="Times New Roman"/>
          <w:sz w:val="20"/>
          <w:szCs w:val="24"/>
        </w:rPr>
        <w:t xml:space="preserve">, 2022), and profitability (ROA) measured by dividing the net profit with the total assets, are the control variables. Dividend policy (DP) is a dummy variable, which equals to 1 if the firm gives dividend to its </w:t>
      </w:r>
      <w:proofErr w:type="gramStart"/>
      <w:r w:rsidRPr="0056450E">
        <w:rPr>
          <w:rFonts w:ascii="Times New Roman" w:eastAsia="Times New Roman" w:hAnsi="Times New Roman" w:cs="Times New Roman"/>
          <w:sz w:val="20"/>
          <w:szCs w:val="24"/>
        </w:rPr>
        <w:t>shareholders,</w:t>
      </w:r>
      <w:proofErr w:type="gramEnd"/>
      <w:r w:rsidRPr="0056450E">
        <w:rPr>
          <w:rFonts w:ascii="Times New Roman" w:eastAsia="Times New Roman" w:hAnsi="Times New Roman" w:cs="Times New Roman"/>
          <w:sz w:val="20"/>
          <w:szCs w:val="24"/>
        </w:rPr>
        <w:t xml:space="preserve"> and 0 if the firm does not.</w:t>
      </w:r>
    </w:p>
    <w:p w:rsidR="00D3058A" w:rsidRDefault="0056450E" w:rsidP="005D2CDF">
      <w:pPr>
        <w:pBdr>
          <w:top w:val="nil"/>
          <w:left w:val="nil"/>
          <w:bottom w:val="nil"/>
          <w:right w:val="nil"/>
          <w:between w:val="nil"/>
        </w:pBdr>
        <w:spacing w:before="240" w:after="0" w:line="240" w:lineRule="auto"/>
        <w:jc w:val="both"/>
        <w:rPr>
          <w:rFonts w:ascii="Times New Roman" w:eastAsia="Times New Roman" w:hAnsi="Times New Roman" w:cs="Times New Roman"/>
          <w:color w:val="000000"/>
          <w:sz w:val="20"/>
          <w:szCs w:val="24"/>
        </w:rPr>
      </w:pPr>
      <w:r w:rsidRPr="0056450E">
        <w:rPr>
          <w:rFonts w:ascii="Times New Roman" w:eastAsia="Times New Roman" w:hAnsi="Times New Roman" w:cs="Times New Roman"/>
          <w:color w:val="000000"/>
          <w:sz w:val="20"/>
          <w:szCs w:val="24"/>
        </w:rPr>
        <w:t>The study developed two regression equations to test the impact of corporate governance disclosure on stock price reaction. In the first equation, the dependent variable is the corporate governance disclosure score, with the main explanatory variable being profitability (ROA). Other variables like the firm size, leverage, dividend policy, industry and year dummies have been controlled for.</w:t>
      </w:r>
    </w:p>
    <w:p w:rsidR="00235969" w:rsidRDefault="00235969" w:rsidP="00235969">
      <w:pPr>
        <w:ind w:right="567"/>
        <w:jc w:val="center"/>
        <w:rPr>
          <w:i/>
          <w:iCs/>
          <w:sz w:val="16"/>
          <w:szCs w:val="16"/>
        </w:rPr>
      </w:pPr>
    </w:p>
    <w:p w:rsidR="00D3058A" w:rsidRPr="0056450E" w:rsidRDefault="009B15B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Corporate governance score</m:t>
            </m:r>
          </m:e>
          <m:sub>
            <m:r>
              <w:rPr>
                <w:rFonts w:ascii="Cambria Math" w:eastAsia="Cambria Math" w:hAnsi="Cambria Math" w:cs="Times New Roman"/>
                <w:color w:val="000000"/>
                <w:sz w:val="24"/>
                <w:szCs w:val="24"/>
              </w:rPr>
              <m:t>it</m:t>
            </m:r>
          </m:sub>
        </m:sSub>
        <m:r>
          <w:rPr>
            <w:rFonts w:ascii="Cambria Math" w:eastAsia="Cambria Math" w:hAnsi="Cambria Math" w:cs="Times New Roman"/>
            <w:color w:val="000000"/>
            <w:sz w:val="24"/>
            <w:szCs w:val="24"/>
          </w:rPr>
          <m:t xml:space="preserve">=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0</m:t>
            </m:r>
          </m:sub>
        </m:sSub>
        <m:r>
          <w:rPr>
            <w:rFonts w:ascii="Cambria Math" w:eastAsia="Cambria Math" w:hAnsi="Cambria Math" w:cs="Times New Roman"/>
            <w:color w:val="000000"/>
            <w:sz w:val="24"/>
            <w:szCs w:val="24"/>
          </w:rPr>
          <m:t xml:space="preserve">+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1</m:t>
            </m:r>
          </m:sub>
        </m:sSub>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Profitability</m:t>
            </m:r>
          </m:e>
          <m:sub>
            <m:r>
              <w:rPr>
                <w:rFonts w:ascii="Cambria Math" w:eastAsia="Cambria Math" w:hAnsi="Cambria Math" w:cs="Times New Roman"/>
                <w:color w:val="000000"/>
                <w:sz w:val="24"/>
                <w:szCs w:val="24"/>
              </w:rPr>
              <m:t>it</m:t>
            </m:r>
          </m:sub>
        </m:sSub>
        <m:r>
          <w:rPr>
            <w:rFonts w:ascii="Cambria Math" w:eastAsia="Cambria Math" w:hAnsi="Cambria Math" w:cs="Times New Roman"/>
            <w:color w:val="000000"/>
            <w:sz w:val="24"/>
            <w:szCs w:val="24"/>
          </w:rPr>
          <m:t xml:space="preserve">+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2</m:t>
            </m:r>
          </m:sub>
        </m:sSub>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Size</m:t>
            </m:r>
          </m:e>
          <m:sub>
            <m:r>
              <w:rPr>
                <w:rFonts w:ascii="Cambria Math" w:eastAsia="Cambria Math" w:hAnsi="Cambria Math" w:cs="Times New Roman"/>
                <w:color w:val="000000"/>
                <w:sz w:val="24"/>
                <w:szCs w:val="24"/>
              </w:rPr>
              <m:t>it</m:t>
            </m:r>
          </m:sub>
        </m:sSub>
        <m:r>
          <w:rPr>
            <w:rFonts w:ascii="Cambria Math" w:eastAsia="Cambria Math" w:hAnsi="Cambria Math" w:cs="Times New Roman"/>
            <w:color w:val="000000"/>
            <w:sz w:val="24"/>
            <w:szCs w:val="24"/>
          </w:rPr>
          <m:t xml:space="preserve">+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3</m:t>
            </m:r>
          </m:sub>
        </m:sSub>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Leverage</m:t>
            </m:r>
          </m:e>
          <m:sub>
            <m:r>
              <w:rPr>
                <w:rFonts w:ascii="Cambria Math" w:eastAsia="Cambria Math" w:hAnsi="Cambria Math" w:cs="Times New Roman"/>
                <w:color w:val="000000"/>
                <w:sz w:val="24"/>
                <w:szCs w:val="24"/>
              </w:rPr>
              <m:t>it</m:t>
            </m:r>
          </m:sub>
        </m:sSub>
        <m:r>
          <w:rPr>
            <w:rFonts w:ascii="Cambria Math" w:eastAsia="Cambria Math" w:hAnsi="Cambria Math" w:cs="Times New Roman"/>
            <w:color w:val="000000"/>
            <w:sz w:val="24"/>
            <w:szCs w:val="24"/>
          </w:rPr>
          <m:t xml:space="preserve">+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4</m:t>
            </m:r>
          </m:sub>
        </m:sSub>
        <m:r>
          <w:rPr>
            <w:rFonts w:ascii="Cambria Math" w:eastAsia="Cambria Math" w:hAnsi="Cambria Math" w:cs="Times New Roman"/>
            <w:color w:val="000000"/>
            <w:sz w:val="24"/>
            <w:szCs w:val="24"/>
          </w:rPr>
          <m:t xml:space="preserve">Dividend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policy</m:t>
            </m:r>
          </m:e>
          <m:sub>
            <m:r>
              <w:rPr>
                <w:rFonts w:ascii="Cambria Math" w:eastAsia="Cambria Math" w:hAnsi="Cambria Math" w:cs="Times New Roman"/>
                <w:color w:val="000000"/>
                <w:sz w:val="24"/>
                <w:szCs w:val="24"/>
              </w:rPr>
              <m:t>it</m:t>
            </m:r>
          </m:sub>
        </m:sSub>
        <m:r>
          <w:rPr>
            <w:rFonts w:ascii="Cambria Math" w:eastAsia="Cambria Math" w:hAnsi="Cambria Math" w:cs="Times New Roman"/>
            <w:color w:val="000000"/>
            <w:sz w:val="24"/>
            <w:szCs w:val="24"/>
          </w:rPr>
          <m:t xml:space="preserve">+ </m:t>
        </m:r>
        <m:nary>
          <m:naryPr>
            <m:chr m:val="∑"/>
            <m:ctrlPr>
              <w:rPr>
                <w:rFonts w:ascii="Cambria Math" w:eastAsia="Cambria Math" w:hAnsi="Cambria Math" w:cs="Times New Roman"/>
                <w:color w:val="000000"/>
                <w:sz w:val="24"/>
                <w:szCs w:val="24"/>
              </w:rPr>
            </m:ctrlPr>
          </m:naryPr>
          <m:sub>
            <m:r>
              <w:rPr>
                <w:rFonts w:ascii="Cambria Math" w:eastAsia="Cambria Math" w:hAnsi="Cambria Math" w:cs="Times New Roman"/>
                <w:color w:val="000000"/>
                <w:sz w:val="24"/>
                <w:szCs w:val="24"/>
              </w:rPr>
              <m:t>j=1</m:t>
            </m:r>
          </m:sub>
          <m:sup>
            <m:r>
              <w:rPr>
                <w:rFonts w:ascii="Cambria Math" w:eastAsia="Cambria Math" w:hAnsi="Cambria Math" w:cs="Times New Roman"/>
                <w:color w:val="000000"/>
                <w:sz w:val="24"/>
                <w:szCs w:val="24"/>
              </w:rPr>
              <m:t>j=10</m:t>
            </m:r>
          </m:sup>
          <m:e/>
        </m:nary>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5</m:t>
            </m:r>
          </m:sub>
        </m:sSub>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IND</m:t>
            </m:r>
          </m:e>
          <m:sub>
            <m:r>
              <w:rPr>
                <w:rFonts w:ascii="Cambria Math" w:eastAsia="Cambria Math" w:hAnsi="Cambria Math" w:cs="Times New Roman"/>
                <w:color w:val="000000"/>
                <w:sz w:val="24"/>
                <w:szCs w:val="24"/>
              </w:rPr>
              <m:t>jit</m:t>
            </m:r>
          </m:sub>
        </m:sSub>
        <m:r>
          <w:rPr>
            <w:rFonts w:ascii="Cambria Math" w:eastAsia="Cambria Math" w:hAnsi="Cambria Math" w:cs="Times New Roman"/>
            <w:color w:val="000000"/>
            <w:sz w:val="24"/>
            <w:szCs w:val="24"/>
          </w:rPr>
          <m:t xml:space="preserve">+ </m:t>
        </m:r>
        <m:nary>
          <m:naryPr>
            <m:chr m:val="∑"/>
            <m:ctrlPr>
              <w:rPr>
                <w:rFonts w:ascii="Cambria Math" w:eastAsia="Cambria Math" w:hAnsi="Cambria Math" w:cs="Times New Roman"/>
                <w:color w:val="000000"/>
                <w:sz w:val="24"/>
                <w:szCs w:val="24"/>
              </w:rPr>
            </m:ctrlPr>
          </m:naryPr>
          <m:sub>
            <m:r>
              <w:rPr>
                <w:rFonts w:ascii="Cambria Math" w:eastAsia="Cambria Math" w:hAnsi="Cambria Math" w:cs="Times New Roman"/>
                <w:color w:val="000000"/>
                <w:sz w:val="24"/>
                <w:szCs w:val="24"/>
              </w:rPr>
              <m:t>j=2014</m:t>
            </m:r>
          </m:sub>
          <m:sup>
            <m:r>
              <w:rPr>
                <w:rFonts w:ascii="Cambria Math" w:eastAsia="Cambria Math" w:hAnsi="Cambria Math" w:cs="Times New Roman"/>
                <w:color w:val="000000"/>
                <w:sz w:val="24"/>
                <w:szCs w:val="24"/>
              </w:rPr>
              <m:t>j=2022</m:t>
            </m:r>
          </m:sup>
          <m:e/>
        </m:nary>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6</m:t>
            </m:r>
          </m:sub>
        </m:sSub>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year</m:t>
            </m:r>
          </m:e>
          <m:sub>
            <m:r>
              <w:rPr>
                <w:rFonts w:ascii="Cambria Math" w:eastAsia="Cambria Math" w:hAnsi="Cambria Math" w:cs="Times New Roman"/>
                <w:color w:val="000000"/>
                <w:sz w:val="24"/>
                <w:szCs w:val="24"/>
              </w:rPr>
              <m:t>jit</m:t>
            </m:r>
          </m:sub>
        </m:sSub>
        <m:r>
          <w:rPr>
            <w:rFonts w:ascii="Cambria Math" w:eastAsia="Cambria Math" w:hAnsi="Cambria Math" w:cs="Times New Roman"/>
            <w:color w:val="000000"/>
            <w:sz w:val="24"/>
            <w:szCs w:val="24"/>
          </w:rPr>
          <m:t xml:space="preserve">+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ε</m:t>
            </m:r>
          </m:e>
          <m:sub>
            <m:r>
              <w:rPr>
                <w:rFonts w:ascii="Cambria Math" w:eastAsia="Cambria Math" w:hAnsi="Cambria Math" w:cs="Times New Roman"/>
                <w:color w:val="000000"/>
                <w:sz w:val="24"/>
                <w:szCs w:val="24"/>
              </w:rPr>
              <m:t>it</m:t>
            </m:r>
          </m:sub>
        </m:sSub>
      </m:oMath>
      <w:r w:rsidR="0056450E" w:rsidRPr="0056450E">
        <w:rPr>
          <w:rFonts w:ascii="Times New Roman" w:eastAsia="Times New Roman" w:hAnsi="Times New Roman" w:cs="Times New Roman"/>
          <w:color w:val="000000"/>
          <w:sz w:val="24"/>
          <w:szCs w:val="24"/>
        </w:rPr>
        <w:tab/>
        <w:t>(1)</w:t>
      </w:r>
    </w:p>
    <w:p w:rsidR="00D3058A" w:rsidRPr="0056450E" w:rsidRDefault="0056450E" w:rsidP="005D2CDF">
      <w:pPr>
        <w:spacing w:before="240" w:after="0" w:line="240" w:lineRule="auto"/>
        <w:jc w:val="both"/>
        <w:rPr>
          <w:rFonts w:ascii="Times New Roman" w:eastAsia="Times New Roman" w:hAnsi="Times New Roman" w:cs="Times New Roman"/>
          <w:sz w:val="24"/>
          <w:szCs w:val="24"/>
        </w:rPr>
      </w:pPr>
      <w:r w:rsidRPr="0056450E">
        <w:rPr>
          <w:rFonts w:ascii="Times New Roman" w:eastAsia="Times New Roman" w:hAnsi="Times New Roman" w:cs="Times New Roman"/>
          <w:sz w:val="24"/>
          <w:szCs w:val="24"/>
        </w:rPr>
        <w:t>To test for the impact of corporate governance disclosure on stock price reaction, the model presented in equation (2) is adapted as has been implemented in the work of Barth et al. (1998). The specific form of the model is as follows:</w:t>
      </w:r>
    </w:p>
    <w:p w:rsidR="00D3058A" w:rsidRDefault="009B15B5">
      <w:pPr>
        <w:pBdr>
          <w:top w:val="nil"/>
          <w:left w:val="nil"/>
          <w:bottom w:val="nil"/>
          <w:right w:val="nil"/>
          <w:between w:val="nil"/>
        </w:pBdr>
        <w:spacing w:before="240" w:after="0" w:line="276" w:lineRule="auto"/>
        <w:jc w:val="both"/>
        <w:rPr>
          <w:rFonts w:ascii="Times New Roman" w:eastAsia="Times New Roman" w:hAnsi="Times New Roman" w:cs="Times New Roman"/>
          <w:color w:val="000000"/>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SP</m:t>
            </m:r>
          </m:e>
          <m:sub>
            <m:r>
              <w:rPr>
                <w:rFonts w:ascii="Cambria Math" w:eastAsia="Cambria Math" w:hAnsi="Cambria Math" w:cs="Times New Roman"/>
                <w:color w:val="000000"/>
                <w:sz w:val="24"/>
                <w:szCs w:val="24"/>
              </w:rPr>
              <m:t>it</m:t>
            </m:r>
          </m:sub>
        </m:sSub>
        <m:r>
          <w:rPr>
            <w:rFonts w:ascii="Cambria Math" w:eastAsia="Cambria Math" w:hAnsi="Cambria Math" w:cs="Times New Roman"/>
            <w:color w:val="000000"/>
            <w:sz w:val="24"/>
            <w:szCs w:val="24"/>
          </w:rPr>
          <m:t xml:space="preserve">=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0</m:t>
            </m:r>
          </m:sub>
        </m:sSub>
        <m:r>
          <w:rPr>
            <w:rFonts w:ascii="Cambria Math" w:eastAsia="Cambria Math" w:hAnsi="Cambria Math" w:cs="Times New Roman"/>
            <w:color w:val="000000"/>
            <w:sz w:val="24"/>
            <w:szCs w:val="24"/>
          </w:rPr>
          <m:t xml:space="preserve">+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1</m:t>
            </m:r>
          </m:sub>
        </m:sSub>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Corporate Governance disclosure</m:t>
            </m:r>
          </m:e>
          <m:sub>
            <m:r>
              <w:rPr>
                <w:rFonts w:ascii="Cambria Math" w:eastAsia="Cambria Math" w:hAnsi="Cambria Math" w:cs="Times New Roman"/>
                <w:color w:val="000000"/>
                <w:sz w:val="24"/>
                <w:szCs w:val="24"/>
              </w:rPr>
              <m:t>it</m:t>
            </m:r>
          </m:sub>
        </m:sSub>
        <m:r>
          <w:rPr>
            <w:rFonts w:ascii="Cambria Math" w:eastAsia="Cambria Math" w:hAnsi="Cambria Math" w:cs="Times New Roman"/>
            <w:color w:val="000000"/>
            <w:sz w:val="24"/>
            <w:szCs w:val="24"/>
          </w:rPr>
          <m:t xml:space="preserve">+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2</m:t>
            </m:r>
          </m:sub>
        </m:sSub>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ROA</m:t>
            </m:r>
          </m:e>
          <m:sub>
            <m:r>
              <w:rPr>
                <w:rFonts w:ascii="Cambria Math" w:eastAsia="Cambria Math" w:hAnsi="Cambria Math" w:cs="Times New Roman"/>
                <w:color w:val="000000"/>
                <w:sz w:val="24"/>
                <w:szCs w:val="24"/>
              </w:rPr>
              <m:t>it</m:t>
            </m:r>
          </m:sub>
        </m:sSub>
        <m:r>
          <w:rPr>
            <w:rFonts w:ascii="Cambria Math" w:eastAsia="Cambria Math" w:hAnsi="Cambria Math" w:cs="Times New Roman"/>
            <w:color w:val="000000"/>
            <w:sz w:val="24"/>
            <w:szCs w:val="24"/>
          </w:rPr>
          <m:t xml:space="preserve">+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3</m:t>
            </m:r>
          </m:sub>
        </m:sSub>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Size</m:t>
            </m:r>
          </m:e>
          <m:sub>
            <m:r>
              <w:rPr>
                <w:rFonts w:ascii="Cambria Math" w:eastAsia="Cambria Math" w:hAnsi="Cambria Math" w:cs="Times New Roman"/>
                <w:color w:val="000000"/>
                <w:sz w:val="24"/>
                <w:szCs w:val="24"/>
              </w:rPr>
              <m:t>it</m:t>
            </m:r>
          </m:sub>
        </m:sSub>
        <m:r>
          <w:rPr>
            <w:rFonts w:ascii="Cambria Math" w:eastAsia="Cambria Math" w:hAnsi="Cambria Math" w:cs="Times New Roman"/>
            <w:color w:val="000000"/>
            <w:sz w:val="24"/>
            <w:szCs w:val="24"/>
          </w:rPr>
          <m:t xml:space="preserve">+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4</m:t>
            </m:r>
          </m:sub>
        </m:sSub>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Leverage</m:t>
            </m:r>
          </m:e>
          <m:sub>
            <m:r>
              <w:rPr>
                <w:rFonts w:ascii="Cambria Math" w:eastAsia="Cambria Math" w:hAnsi="Cambria Math" w:cs="Times New Roman"/>
                <w:color w:val="000000"/>
                <w:sz w:val="24"/>
                <w:szCs w:val="24"/>
              </w:rPr>
              <m:t>it</m:t>
            </m:r>
          </m:sub>
        </m:sSub>
        <m:r>
          <w:rPr>
            <w:rFonts w:ascii="Cambria Math" w:eastAsia="Cambria Math" w:hAnsi="Cambria Math" w:cs="Times New Roman"/>
            <w:color w:val="000000"/>
            <w:sz w:val="24"/>
            <w:szCs w:val="24"/>
          </w:rPr>
          <m:t xml:space="preserve">+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5</m:t>
            </m:r>
          </m:sub>
        </m:sSub>
        <m:r>
          <w:rPr>
            <w:rFonts w:ascii="Cambria Math" w:eastAsia="Cambria Math" w:hAnsi="Cambria Math" w:cs="Times New Roman"/>
            <w:color w:val="000000"/>
            <w:sz w:val="24"/>
            <w:szCs w:val="24"/>
          </w:rPr>
          <m:t xml:space="preserve">Dividend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policy</m:t>
            </m:r>
          </m:e>
          <m:sub>
            <m:r>
              <w:rPr>
                <w:rFonts w:ascii="Cambria Math" w:eastAsia="Cambria Math" w:hAnsi="Cambria Math" w:cs="Times New Roman"/>
                <w:color w:val="000000"/>
                <w:sz w:val="24"/>
                <w:szCs w:val="24"/>
              </w:rPr>
              <m:t>it</m:t>
            </m:r>
          </m:sub>
        </m:sSub>
        <m:r>
          <w:rPr>
            <w:rFonts w:ascii="Cambria Math" w:eastAsia="Cambria Math" w:hAnsi="Cambria Math" w:cs="Times New Roman"/>
            <w:color w:val="000000"/>
            <w:sz w:val="24"/>
            <w:szCs w:val="24"/>
          </w:rPr>
          <m:t xml:space="preserve">+ </m:t>
        </m:r>
        <m:nary>
          <m:naryPr>
            <m:chr m:val="∑"/>
            <m:ctrlPr>
              <w:rPr>
                <w:rFonts w:ascii="Cambria Math" w:eastAsia="Cambria Math" w:hAnsi="Cambria Math" w:cs="Times New Roman"/>
                <w:color w:val="000000"/>
                <w:sz w:val="24"/>
                <w:szCs w:val="24"/>
              </w:rPr>
            </m:ctrlPr>
          </m:naryPr>
          <m:sub>
            <m:r>
              <w:rPr>
                <w:rFonts w:ascii="Cambria Math" w:eastAsia="Cambria Math" w:hAnsi="Cambria Math" w:cs="Times New Roman"/>
                <w:color w:val="000000"/>
                <w:sz w:val="24"/>
                <w:szCs w:val="24"/>
              </w:rPr>
              <m:t>j=1</m:t>
            </m:r>
          </m:sub>
          <m:sup>
            <m:r>
              <w:rPr>
                <w:rFonts w:ascii="Cambria Math" w:eastAsia="Cambria Math" w:hAnsi="Cambria Math" w:cs="Times New Roman"/>
                <w:color w:val="000000"/>
                <w:sz w:val="24"/>
                <w:szCs w:val="24"/>
              </w:rPr>
              <m:t>j=10</m:t>
            </m:r>
          </m:sup>
          <m:e/>
        </m:nary>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β</m:t>
            </m:r>
          </m:e>
          <m:sub>
            <m:r>
              <w:rPr>
                <w:rFonts w:ascii="Cambria Math" w:eastAsia="Cambria Math" w:hAnsi="Cambria Math" w:cs="Times New Roman"/>
                <w:color w:val="000000"/>
                <w:sz w:val="24"/>
                <w:szCs w:val="24"/>
              </w:rPr>
              <m:t>6</m:t>
            </m:r>
          </m:sub>
        </m:sSub>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IND</m:t>
            </m:r>
          </m:e>
          <m:sub>
            <m:r>
              <w:rPr>
                <w:rFonts w:ascii="Cambria Math" w:eastAsia="Cambria Math" w:hAnsi="Cambria Math" w:cs="Times New Roman"/>
                <w:color w:val="000000"/>
                <w:sz w:val="24"/>
                <w:szCs w:val="24"/>
              </w:rPr>
              <m:t>jit</m:t>
            </m:r>
          </m:sub>
        </m:sSub>
        <m:r>
          <w:rPr>
            <w:rFonts w:ascii="Cambria Math" w:eastAsia="Cambria Math" w:hAnsi="Cambria Math" w:cs="Times New Roman"/>
            <w:color w:val="000000"/>
            <w:sz w:val="24"/>
            <w:szCs w:val="24"/>
          </w:rPr>
          <m:t xml:space="preserve">+ </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ε</m:t>
            </m:r>
          </m:e>
          <m:sub>
            <m:r>
              <w:rPr>
                <w:rFonts w:ascii="Cambria Math" w:eastAsia="Cambria Math" w:hAnsi="Cambria Math" w:cs="Times New Roman"/>
                <w:color w:val="000000"/>
                <w:sz w:val="24"/>
                <w:szCs w:val="24"/>
              </w:rPr>
              <m:t>it</m:t>
            </m:r>
          </m:sub>
        </m:sSub>
      </m:oMath>
      <w:r w:rsidR="0056450E">
        <w:rPr>
          <w:rFonts w:ascii="Times New Roman" w:eastAsia="Times New Roman" w:hAnsi="Times New Roman" w:cs="Times New Roman"/>
          <w:color w:val="000000"/>
          <w:sz w:val="24"/>
          <w:szCs w:val="24"/>
        </w:rPr>
        <w:tab/>
      </w:r>
      <w:r w:rsidR="0056450E">
        <w:rPr>
          <w:rFonts w:ascii="Times New Roman" w:eastAsia="Times New Roman" w:hAnsi="Times New Roman" w:cs="Times New Roman"/>
          <w:color w:val="000000"/>
          <w:sz w:val="24"/>
          <w:szCs w:val="24"/>
        </w:rPr>
        <w:tab/>
      </w:r>
      <w:r w:rsidR="0056450E">
        <w:rPr>
          <w:rFonts w:ascii="Times New Roman" w:eastAsia="Times New Roman" w:hAnsi="Times New Roman" w:cs="Times New Roman"/>
          <w:color w:val="000000"/>
          <w:sz w:val="24"/>
          <w:szCs w:val="24"/>
        </w:rPr>
        <w:tab/>
        <w:t>(2)</w:t>
      </w:r>
    </w:p>
    <w:p w:rsidR="00D3058A" w:rsidRDefault="0056450E" w:rsidP="005D2CDF">
      <w:pPr>
        <w:spacing w:before="240" w:after="0" w:line="240" w:lineRule="auto"/>
        <w:jc w:val="both"/>
        <w:rPr>
          <w:rFonts w:ascii="Times New Roman" w:eastAsia="Times New Roman" w:hAnsi="Times New Roman" w:cs="Times New Roman"/>
          <w:sz w:val="20"/>
          <w:szCs w:val="24"/>
        </w:rPr>
      </w:pPr>
      <w:r w:rsidRPr="0056450E">
        <w:rPr>
          <w:rFonts w:ascii="Times New Roman" w:eastAsia="Times New Roman" w:hAnsi="Times New Roman" w:cs="Times New Roman"/>
          <w:sz w:val="20"/>
          <w:szCs w:val="24"/>
        </w:rPr>
        <w:t xml:space="preserve">The Pearson correlation and the multiple linear regression analyses </w:t>
      </w:r>
      <w:proofErr w:type="gramStart"/>
      <w:r w:rsidRPr="0056450E">
        <w:rPr>
          <w:rFonts w:ascii="Times New Roman" w:eastAsia="Times New Roman" w:hAnsi="Times New Roman" w:cs="Times New Roman"/>
          <w:sz w:val="20"/>
          <w:szCs w:val="24"/>
        </w:rPr>
        <w:t>was</w:t>
      </w:r>
      <w:proofErr w:type="gramEnd"/>
      <w:r w:rsidRPr="0056450E">
        <w:rPr>
          <w:rFonts w:ascii="Times New Roman" w:eastAsia="Times New Roman" w:hAnsi="Times New Roman" w:cs="Times New Roman"/>
          <w:sz w:val="20"/>
          <w:szCs w:val="24"/>
        </w:rPr>
        <w:t xml:space="preserve"> used. All statistical analyses were carried out using the STATA 14.2 analysis software. </w:t>
      </w:r>
    </w:p>
    <w:p w:rsidR="005D2CDF" w:rsidRDefault="005D2CDF" w:rsidP="005D2CDF">
      <w:pPr>
        <w:spacing w:before="240" w:after="0" w:line="240" w:lineRule="auto"/>
        <w:jc w:val="both"/>
        <w:rPr>
          <w:rFonts w:ascii="Times New Roman" w:eastAsia="Times New Roman" w:hAnsi="Times New Roman" w:cs="Times New Roman"/>
          <w:sz w:val="20"/>
          <w:szCs w:val="24"/>
        </w:rPr>
      </w:pPr>
    </w:p>
    <w:p w:rsidR="00D3058A" w:rsidRDefault="0056450E" w:rsidP="0056450E">
      <w:pPr>
        <w:numPr>
          <w:ilvl w:val="0"/>
          <w:numId w:val="2"/>
        </w:numPr>
        <w:pBdr>
          <w:top w:val="nil"/>
          <w:left w:val="nil"/>
          <w:bottom w:val="nil"/>
          <w:right w:val="nil"/>
          <w:between w:val="nil"/>
        </w:pBdr>
        <w:spacing w:after="0" w:line="276"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rsidR="00D3058A" w:rsidRDefault="0056450E" w:rsidP="0056450E">
      <w:pPr>
        <w:numPr>
          <w:ilvl w:val="1"/>
          <w:numId w:val="2"/>
        </w:numPr>
        <w:pBdr>
          <w:top w:val="nil"/>
          <w:left w:val="nil"/>
          <w:bottom w:val="nil"/>
          <w:right w:val="nil"/>
          <w:between w:val="nil"/>
        </w:pBdr>
        <w:tabs>
          <w:tab w:val="left" w:pos="90"/>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Descriptive Statistics</w:t>
      </w:r>
    </w:p>
    <w:p w:rsidR="00D3058A" w:rsidRDefault="0056450E" w:rsidP="005D2CDF">
      <w:pPr>
        <w:spacing w:before="240" w:after="0" w:line="240" w:lineRule="auto"/>
        <w:jc w:val="both"/>
        <w:rPr>
          <w:rFonts w:ascii="Times New Roman" w:eastAsia="Times New Roman" w:hAnsi="Times New Roman" w:cs="Times New Roman"/>
          <w:sz w:val="20"/>
          <w:szCs w:val="24"/>
        </w:rPr>
      </w:pPr>
      <w:r w:rsidRPr="0056450E">
        <w:rPr>
          <w:rFonts w:ascii="Times New Roman" w:eastAsia="Times New Roman" w:hAnsi="Times New Roman" w:cs="Times New Roman"/>
          <w:sz w:val="20"/>
          <w:szCs w:val="24"/>
        </w:rPr>
        <w:t xml:space="preserve">Table 1 presents the descriptive statistics for the major variables. The table shows that the mean value of the corporate governance disclosure score is 61.757, while ROA averages approximately 4.792. For the control variables, the mean of firm size is 17.840 with an SD of 1.985, while leverage is 57.826% with an SD of 16.318. The dependent variable, stock price, has a mean value of </w:t>
      </w:r>
      <w:r w:rsidRPr="0056450E">
        <w:rPr>
          <w:rFonts w:ascii="Times New Roman" w:eastAsia="Times New Roman" w:hAnsi="Times New Roman" w:cs="Times New Roman"/>
          <w:strike/>
          <w:sz w:val="20"/>
          <w:szCs w:val="24"/>
        </w:rPr>
        <w:t>N</w:t>
      </w:r>
      <w:r w:rsidRPr="0056450E">
        <w:rPr>
          <w:rFonts w:ascii="Times New Roman" w:eastAsia="Times New Roman" w:hAnsi="Times New Roman" w:cs="Times New Roman"/>
          <w:sz w:val="20"/>
          <w:szCs w:val="24"/>
        </w:rPr>
        <w:t>98.986 and a standard deviation of 311.356.</w:t>
      </w:r>
    </w:p>
    <w:p w:rsidR="005D2CDF" w:rsidRDefault="005D2CDF">
      <w:pPr>
        <w:spacing w:before="240" w:after="0" w:line="276" w:lineRule="auto"/>
        <w:jc w:val="both"/>
        <w:rPr>
          <w:rFonts w:ascii="Times New Roman" w:eastAsia="Times New Roman" w:hAnsi="Times New Roman" w:cs="Times New Roman"/>
          <w:sz w:val="20"/>
          <w:szCs w:val="24"/>
        </w:rPr>
      </w:pPr>
    </w:p>
    <w:p w:rsidR="005D2CDF" w:rsidRDefault="005D2CDF">
      <w:pPr>
        <w:spacing w:before="240" w:after="0" w:line="276" w:lineRule="auto"/>
        <w:jc w:val="both"/>
        <w:rPr>
          <w:rFonts w:ascii="Times New Roman" w:eastAsia="Times New Roman" w:hAnsi="Times New Roman" w:cs="Times New Roman"/>
          <w:sz w:val="20"/>
          <w:szCs w:val="24"/>
        </w:rPr>
      </w:pPr>
    </w:p>
    <w:p w:rsidR="005D2CDF" w:rsidRDefault="005D2CDF">
      <w:pPr>
        <w:widowControl w:val="0"/>
        <w:spacing w:line="276" w:lineRule="auto"/>
        <w:jc w:val="both"/>
        <w:rPr>
          <w:rFonts w:ascii="Times New Roman" w:eastAsia="Times New Roman" w:hAnsi="Times New Roman" w:cs="Times New Roman"/>
          <w:sz w:val="20"/>
          <w:szCs w:val="20"/>
        </w:rPr>
      </w:pPr>
    </w:p>
    <w:p w:rsidR="00D3058A" w:rsidRPr="0056450E" w:rsidRDefault="0056450E">
      <w:pPr>
        <w:widowControl w:val="0"/>
        <w:spacing w:line="276" w:lineRule="auto"/>
        <w:jc w:val="both"/>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lastRenderedPageBreak/>
        <w:t>Table 1: Descriptive Statistics</w:t>
      </w:r>
    </w:p>
    <w:tbl>
      <w:tblPr>
        <w:tblStyle w:val="a"/>
        <w:tblW w:w="8100" w:type="dxa"/>
        <w:tblBorders>
          <w:top w:val="single" w:sz="4" w:space="0" w:color="000000"/>
          <w:left w:val="nil"/>
          <w:bottom w:val="nil"/>
          <w:right w:val="nil"/>
          <w:insideH w:val="single" w:sz="4" w:space="0" w:color="000000"/>
          <w:insideV w:val="nil"/>
        </w:tblBorders>
        <w:tblLayout w:type="fixed"/>
        <w:tblLook w:val="0400" w:firstRow="0" w:lastRow="0" w:firstColumn="0" w:lastColumn="0" w:noHBand="0" w:noVBand="1"/>
      </w:tblPr>
      <w:tblGrid>
        <w:gridCol w:w="1620"/>
        <w:gridCol w:w="720"/>
        <w:gridCol w:w="1243"/>
        <w:gridCol w:w="1367"/>
        <w:gridCol w:w="1254"/>
        <w:gridCol w:w="1896"/>
      </w:tblGrid>
      <w:tr w:rsidR="00D3058A" w:rsidRPr="0056450E">
        <w:tc>
          <w:tcPr>
            <w:tcW w:w="1620" w:type="dxa"/>
            <w:tcBorders>
              <w:bottom w:val="single" w:sz="4" w:space="0" w:color="000000"/>
            </w:tcBorders>
            <w:shd w:val="clear" w:color="auto" w:fill="AEAAAA"/>
          </w:tcPr>
          <w:p w:rsidR="00D3058A" w:rsidRPr="0056450E" w:rsidRDefault="0056450E">
            <w:pPr>
              <w:widowControl w:val="0"/>
              <w:spacing w:line="276" w:lineRule="auto"/>
              <w:jc w:val="both"/>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t>Variable</w:t>
            </w:r>
          </w:p>
        </w:tc>
        <w:tc>
          <w:tcPr>
            <w:tcW w:w="720" w:type="dxa"/>
            <w:tcBorders>
              <w:bottom w:val="single" w:sz="4" w:space="0" w:color="000000"/>
            </w:tcBorders>
            <w:shd w:val="clear" w:color="auto" w:fill="AEAAAA"/>
          </w:tcPr>
          <w:p w:rsidR="00D3058A" w:rsidRPr="0056450E" w:rsidRDefault="0056450E">
            <w:pPr>
              <w:widowControl w:val="0"/>
              <w:spacing w:line="276" w:lineRule="auto"/>
              <w:jc w:val="both"/>
              <w:rPr>
                <w:rFonts w:ascii="Times New Roman" w:eastAsia="Times New Roman" w:hAnsi="Times New Roman" w:cs="Times New Roman"/>
                <w:sz w:val="20"/>
                <w:szCs w:val="20"/>
              </w:rPr>
            </w:pPr>
            <w:proofErr w:type="spellStart"/>
            <w:r w:rsidRPr="0056450E">
              <w:rPr>
                <w:rFonts w:ascii="Times New Roman" w:eastAsia="Times New Roman" w:hAnsi="Times New Roman" w:cs="Times New Roman"/>
                <w:sz w:val="20"/>
                <w:szCs w:val="20"/>
              </w:rPr>
              <w:t>Obs</w:t>
            </w:r>
            <w:proofErr w:type="spellEnd"/>
          </w:p>
        </w:tc>
        <w:tc>
          <w:tcPr>
            <w:tcW w:w="1243" w:type="dxa"/>
            <w:tcBorders>
              <w:bottom w:val="single" w:sz="4" w:space="0" w:color="000000"/>
            </w:tcBorders>
            <w:shd w:val="clear" w:color="auto" w:fill="AEAAAA"/>
          </w:tcPr>
          <w:p w:rsidR="00D3058A" w:rsidRPr="0056450E" w:rsidRDefault="0056450E">
            <w:pPr>
              <w:widowControl w:val="0"/>
              <w:spacing w:line="276" w:lineRule="auto"/>
              <w:jc w:val="both"/>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t>Minimum</w:t>
            </w:r>
          </w:p>
        </w:tc>
        <w:tc>
          <w:tcPr>
            <w:tcW w:w="1367" w:type="dxa"/>
            <w:tcBorders>
              <w:bottom w:val="single" w:sz="4" w:space="0" w:color="000000"/>
            </w:tcBorders>
            <w:shd w:val="clear" w:color="auto" w:fill="AEAAAA"/>
          </w:tcPr>
          <w:p w:rsidR="00D3058A" w:rsidRPr="0056450E" w:rsidRDefault="0056450E">
            <w:pPr>
              <w:widowControl w:val="0"/>
              <w:spacing w:line="276" w:lineRule="auto"/>
              <w:jc w:val="center"/>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t>Maximum</w:t>
            </w:r>
          </w:p>
        </w:tc>
        <w:tc>
          <w:tcPr>
            <w:tcW w:w="1254" w:type="dxa"/>
            <w:tcBorders>
              <w:bottom w:val="single" w:sz="4" w:space="0" w:color="000000"/>
            </w:tcBorders>
            <w:shd w:val="clear" w:color="auto" w:fill="AEAAAA"/>
          </w:tcPr>
          <w:p w:rsidR="00D3058A" w:rsidRPr="0056450E" w:rsidRDefault="0056450E">
            <w:pPr>
              <w:widowControl w:val="0"/>
              <w:spacing w:line="276" w:lineRule="auto"/>
              <w:jc w:val="center"/>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t>Mean</w:t>
            </w:r>
          </w:p>
        </w:tc>
        <w:tc>
          <w:tcPr>
            <w:tcW w:w="1896" w:type="dxa"/>
            <w:tcBorders>
              <w:bottom w:val="single" w:sz="4" w:space="0" w:color="000000"/>
            </w:tcBorders>
            <w:shd w:val="clear" w:color="auto" w:fill="AEAAAA"/>
          </w:tcPr>
          <w:p w:rsidR="00D3058A" w:rsidRPr="0056450E" w:rsidRDefault="0056450E">
            <w:pPr>
              <w:widowControl w:val="0"/>
              <w:spacing w:line="276" w:lineRule="auto"/>
              <w:jc w:val="center"/>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t>Std. Deviation</w:t>
            </w:r>
          </w:p>
        </w:tc>
      </w:tr>
      <w:tr w:rsidR="00D3058A" w:rsidRPr="0056450E">
        <w:tc>
          <w:tcPr>
            <w:tcW w:w="1620" w:type="dxa"/>
            <w:tcBorders>
              <w:bottom w:val="nil"/>
            </w:tcBorders>
          </w:tcPr>
          <w:p w:rsidR="00D3058A" w:rsidRPr="0056450E" w:rsidRDefault="0056450E">
            <w:pPr>
              <w:widowControl w:val="0"/>
              <w:spacing w:line="276" w:lineRule="auto"/>
              <w:jc w:val="both"/>
              <w:rPr>
                <w:rFonts w:ascii="Times New Roman" w:eastAsia="Times New Roman" w:hAnsi="Times New Roman" w:cs="Times New Roman"/>
                <w:sz w:val="20"/>
                <w:szCs w:val="20"/>
              </w:rPr>
            </w:pPr>
            <w:proofErr w:type="spellStart"/>
            <w:r w:rsidRPr="0056450E">
              <w:rPr>
                <w:rFonts w:ascii="Times New Roman" w:eastAsia="Times New Roman" w:hAnsi="Times New Roman" w:cs="Times New Roman"/>
                <w:sz w:val="20"/>
                <w:szCs w:val="20"/>
              </w:rPr>
              <w:t>Cgd</w:t>
            </w:r>
            <w:proofErr w:type="spellEnd"/>
          </w:p>
        </w:tc>
        <w:tc>
          <w:tcPr>
            <w:tcW w:w="720" w:type="dxa"/>
            <w:tcBorders>
              <w:bottom w:val="nil"/>
            </w:tcBorders>
          </w:tcPr>
          <w:p w:rsidR="00D3058A" w:rsidRPr="0056450E" w:rsidRDefault="0056450E">
            <w:pPr>
              <w:widowControl w:val="0"/>
              <w:spacing w:line="276" w:lineRule="auto"/>
              <w:jc w:val="right"/>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t>144</w:t>
            </w:r>
          </w:p>
        </w:tc>
        <w:tc>
          <w:tcPr>
            <w:tcW w:w="1243" w:type="dxa"/>
            <w:tcBorders>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13</w:t>
            </w:r>
          </w:p>
        </w:tc>
        <w:tc>
          <w:tcPr>
            <w:tcW w:w="1367" w:type="dxa"/>
            <w:tcBorders>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100</w:t>
            </w:r>
          </w:p>
        </w:tc>
        <w:tc>
          <w:tcPr>
            <w:tcW w:w="1254" w:type="dxa"/>
            <w:tcBorders>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61.757</w:t>
            </w:r>
          </w:p>
        </w:tc>
        <w:tc>
          <w:tcPr>
            <w:tcW w:w="1896" w:type="dxa"/>
            <w:tcBorders>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19.757</w:t>
            </w:r>
          </w:p>
        </w:tc>
      </w:tr>
      <w:tr w:rsidR="00D3058A" w:rsidRPr="0056450E">
        <w:tc>
          <w:tcPr>
            <w:tcW w:w="1620" w:type="dxa"/>
            <w:tcBorders>
              <w:top w:val="nil"/>
              <w:bottom w:val="nil"/>
            </w:tcBorders>
          </w:tcPr>
          <w:p w:rsidR="00D3058A" w:rsidRPr="0056450E" w:rsidRDefault="0056450E">
            <w:pPr>
              <w:widowControl w:val="0"/>
              <w:spacing w:line="276" w:lineRule="auto"/>
              <w:jc w:val="both"/>
              <w:rPr>
                <w:rFonts w:ascii="Times New Roman" w:eastAsia="Times New Roman" w:hAnsi="Times New Roman" w:cs="Times New Roman"/>
                <w:sz w:val="20"/>
                <w:szCs w:val="20"/>
              </w:rPr>
            </w:pPr>
            <w:proofErr w:type="spellStart"/>
            <w:r w:rsidRPr="0056450E">
              <w:rPr>
                <w:rFonts w:ascii="Times New Roman" w:eastAsia="Times New Roman" w:hAnsi="Times New Roman" w:cs="Times New Roman"/>
                <w:sz w:val="20"/>
                <w:szCs w:val="20"/>
              </w:rPr>
              <w:t>Fsize</w:t>
            </w:r>
            <w:proofErr w:type="spellEnd"/>
          </w:p>
        </w:tc>
        <w:tc>
          <w:tcPr>
            <w:tcW w:w="720" w:type="dxa"/>
            <w:tcBorders>
              <w:top w:val="nil"/>
              <w:bottom w:val="nil"/>
            </w:tcBorders>
          </w:tcPr>
          <w:p w:rsidR="00D3058A" w:rsidRPr="0056450E" w:rsidRDefault="0056450E">
            <w:pPr>
              <w:widowControl w:val="0"/>
              <w:spacing w:line="276" w:lineRule="auto"/>
              <w:jc w:val="right"/>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t>144</w:t>
            </w:r>
          </w:p>
        </w:tc>
        <w:tc>
          <w:tcPr>
            <w:tcW w:w="1243"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14</w:t>
            </w:r>
          </w:p>
        </w:tc>
        <w:tc>
          <w:tcPr>
            <w:tcW w:w="1367"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25</w:t>
            </w:r>
          </w:p>
        </w:tc>
        <w:tc>
          <w:tcPr>
            <w:tcW w:w="1254"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17.840</w:t>
            </w:r>
          </w:p>
        </w:tc>
        <w:tc>
          <w:tcPr>
            <w:tcW w:w="1896"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1.895</w:t>
            </w:r>
          </w:p>
        </w:tc>
      </w:tr>
      <w:tr w:rsidR="00D3058A" w:rsidRPr="0056450E">
        <w:tc>
          <w:tcPr>
            <w:tcW w:w="1620" w:type="dxa"/>
            <w:tcBorders>
              <w:top w:val="nil"/>
              <w:bottom w:val="nil"/>
            </w:tcBorders>
          </w:tcPr>
          <w:p w:rsidR="00D3058A" w:rsidRPr="0056450E" w:rsidRDefault="0056450E">
            <w:pPr>
              <w:widowControl w:val="0"/>
              <w:spacing w:line="276" w:lineRule="auto"/>
              <w:jc w:val="both"/>
              <w:rPr>
                <w:rFonts w:ascii="Times New Roman" w:eastAsia="Times New Roman" w:hAnsi="Times New Roman" w:cs="Times New Roman"/>
                <w:sz w:val="20"/>
                <w:szCs w:val="20"/>
              </w:rPr>
            </w:pPr>
            <w:proofErr w:type="spellStart"/>
            <w:r w:rsidRPr="0056450E">
              <w:rPr>
                <w:rFonts w:ascii="Times New Roman" w:eastAsia="Times New Roman" w:hAnsi="Times New Roman" w:cs="Times New Roman"/>
                <w:sz w:val="20"/>
                <w:szCs w:val="20"/>
              </w:rPr>
              <w:t>Roa</w:t>
            </w:r>
            <w:proofErr w:type="spellEnd"/>
          </w:p>
        </w:tc>
        <w:tc>
          <w:tcPr>
            <w:tcW w:w="720" w:type="dxa"/>
            <w:tcBorders>
              <w:top w:val="nil"/>
              <w:bottom w:val="nil"/>
            </w:tcBorders>
          </w:tcPr>
          <w:p w:rsidR="00D3058A" w:rsidRPr="0056450E" w:rsidRDefault="0056450E">
            <w:pPr>
              <w:widowControl w:val="0"/>
              <w:spacing w:line="276" w:lineRule="auto"/>
              <w:jc w:val="right"/>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t>144</w:t>
            </w:r>
          </w:p>
        </w:tc>
        <w:tc>
          <w:tcPr>
            <w:tcW w:w="1243"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-16</w:t>
            </w:r>
          </w:p>
        </w:tc>
        <w:tc>
          <w:tcPr>
            <w:tcW w:w="1367"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31</w:t>
            </w:r>
          </w:p>
        </w:tc>
        <w:tc>
          <w:tcPr>
            <w:tcW w:w="1254"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4.792</w:t>
            </w:r>
          </w:p>
        </w:tc>
        <w:tc>
          <w:tcPr>
            <w:tcW w:w="1896"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7.331</w:t>
            </w:r>
          </w:p>
        </w:tc>
      </w:tr>
      <w:tr w:rsidR="00D3058A" w:rsidRPr="0056450E">
        <w:tc>
          <w:tcPr>
            <w:tcW w:w="1620" w:type="dxa"/>
            <w:tcBorders>
              <w:top w:val="nil"/>
              <w:bottom w:val="nil"/>
            </w:tcBorders>
          </w:tcPr>
          <w:p w:rsidR="00D3058A" w:rsidRPr="0056450E" w:rsidRDefault="0056450E">
            <w:pPr>
              <w:widowControl w:val="0"/>
              <w:spacing w:line="276" w:lineRule="auto"/>
              <w:jc w:val="both"/>
              <w:rPr>
                <w:rFonts w:ascii="Times New Roman" w:eastAsia="Times New Roman" w:hAnsi="Times New Roman" w:cs="Times New Roman"/>
                <w:sz w:val="20"/>
                <w:szCs w:val="20"/>
              </w:rPr>
            </w:pPr>
            <w:proofErr w:type="spellStart"/>
            <w:r w:rsidRPr="0056450E">
              <w:rPr>
                <w:rFonts w:ascii="Times New Roman" w:eastAsia="Times New Roman" w:hAnsi="Times New Roman" w:cs="Times New Roman"/>
                <w:sz w:val="20"/>
                <w:szCs w:val="20"/>
              </w:rPr>
              <w:t>Dp</w:t>
            </w:r>
            <w:proofErr w:type="spellEnd"/>
          </w:p>
        </w:tc>
        <w:tc>
          <w:tcPr>
            <w:tcW w:w="720" w:type="dxa"/>
            <w:tcBorders>
              <w:top w:val="nil"/>
              <w:bottom w:val="nil"/>
            </w:tcBorders>
          </w:tcPr>
          <w:p w:rsidR="00D3058A" w:rsidRPr="0056450E" w:rsidRDefault="0056450E">
            <w:pPr>
              <w:widowControl w:val="0"/>
              <w:spacing w:line="276" w:lineRule="auto"/>
              <w:jc w:val="right"/>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t>144</w:t>
            </w:r>
          </w:p>
        </w:tc>
        <w:tc>
          <w:tcPr>
            <w:tcW w:w="1243"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w:t>
            </w:r>
          </w:p>
        </w:tc>
        <w:tc>
          <w:tcPr>
            <w:tcW w:w="1367"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w:t>
            </w:r>
          </w:p>
        </w:tc>
        <w:tc>
          <w:tcPr>
            <w:tcW w:w="1254"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0.479</w:t>
            </w:r>
          </w:p>
        </w:tc>
        <w:tc>
          <w:tcPr>
            <w:tcW w:w="1896"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0.501</w:t>
            </w:r>
          </w:p>
        </w:tc>
      </w:tr>
      <w:tr w:rsidR="00D3058A" w:rsidRPr="0056450E">
        <w:tc>
          <w:tcPr>
            <w:tcW w:w="1620" w:type="dxa"/>
            <w:tcBorders>
              <w:top w:val="nil"/>
              <w:bottom w:val="nil"/>
            </w:tcBorders>
          </w:tcPr>
          <w:p w:rsidR="00D3058A" w:rsidRPr="0056450E" w:rsidRDefault="0056450E">
            <w:pPr>
              <w:widowControl w:val="0"/>
              <w:spacing w:line="276" w:lineRule="auto"/>
              <w:jc w:val="both"/>
              <w:rPr>
                <w:rFonts w:ascii="Times New Roman" w:eastAsia="Times New Roman" w:hAnsi="Times New Roman" w:cs="Times New Roman"/>
                <w:sz w:val="20"/>
                <w:szCs w:val="20"/>
              </w:rPr>
            </w:pPr>
            <w:proofErr w:type="spellStart"/>
            <w:r w:rsidRPr="0056450E">
              <w:rPr>
                <w:rFonts w:ascii="Times New Roman" w:eastAsia="Times New Roman" w:hAnsi="Times New Roman" w:cs="Times New Roman"/>
                <w:sz w:val="20"/>
                <w:szCs w:val="20"/>
              </w:rPr>
              <w:t>Levr</w:t>
            </w:r>
            <w:proofErr w:type="spellEnd"/>
          </w:p>
        </w:tc>
        <w:tc>
          <w:tcPr>
            <w:tcW w:w="720" w:type="dxa"/>
            <w:tcBorders>
              <w:top w:val="nil"/>
              <w:bottom w:val="nil"/>
            </w:tcBorders>
          </w:tcPr>
          <w:p w:rsidR="00D3058A" w:rsidRPr="0056450E" w:rsidRDefault="0056450E">
            <w:pPr>
              <w:widowControl w:val="0"/>
              <w:spacing w:line="276" w:lineRule="auto"/>
              <w:jc w:val="right"/>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t>144</w:t>
            </w:r>
          </w:p>
        </w:tc>
        <w:tc>
          <w:tcPr>
            <w:tcW w:w="1243"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19</w:t>
            </w:r>
          </w:p>
        </w:tc>
        <w:tc>
          <w:tcPr>
            <w:tcW w:w="1367"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98</w:t>
            </w:r>
          </w:p>
        </w:tc>
        <w:tc>
          <w:tcPr>
            <w:tcW w:w="1254"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57.826</w:t>
            </w:r>
          </w:p>
        </w:tc>
        <w:tc>
          <w:tcPr>
            <w:tcW w:w="1896" w:type="dxa"/>
            <w:tcBorders>
              <w:top w:val="nil"/>
              <w:bottom w:val="nil"/>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16.318</w:t>
            </w:r>
          </w:p>
        </w:tc>
      </w:tr>
      <w:tr w:rsidR="00D3058A" w:rsidRPr="0056450E">
        <w:tc>
          <w:tcPr>
            <w:tcW w:w="1620" w:type="dxa"/>
            <w:tcBorders>
              <w:top w:val="nil"/>
              <w:bottom w:val="single" w:sz="4" w:space="0" w:color="000000"/>
            </w:tcBorders>
          </w:tcPr>
          <w:p w:rsidR="00D3058A" w:rsidRPr="0056450E" w:rsidRDefault="0056450E">
            <w:pPr>
              <w:widowControl w:val="0"/>
              <w:spacing w:line="276" w:lineRule="auto"/>
              <w:jc w:val="both"/>
              <w:rPr>
                <w:rFonts w:ascii="Times New Roman" w:eastAsia="Times New Roman" w:hAnsi="Times New Roman" w:cs="Times New Roman"/>
                <w:sz w:val="20"/>
                <w:szCs w:val="20"/>
              </w:rPr>
            </w:pPr>
            <w:proofErr w:type="spellStart"/>
            <w:r w:rsidRPr="0056450E">
              <w:rPr>
                <w:rFonts w:ascii="Times New Roman" w:eastAsia="Times New Roman" w:hAnsi="Times New Roman" w:cs="Times New Roman"/>
                <w:sz w:val="20"/>
                <w:szCs w:val="20"/>
              </w:rPr>
              <w:t>Sp</w:t>
            </w:r>
            <w:proofErr w:type="spellEnd"/>
          </w:p>
        </w:tc>
        <w:tc>
          <w:tcPr>
            <w:tcW w:w="720" w:type="dxa"/>
            <w:tcBorders>
              <w:top w:val="nil"/>
              <w:bottom w:val="single" w:sz="4" w:space="0" w:color="000000"/>
            </w:tcBorders>
          </w:tcPr>
          <w:p w:rsidR="00D3058A" w:rsidRPr="0056450E" w:rsidRDefault="0056450E">
            <w:pPr>
              <w:widowControl w:val="0"/>
              <w:spacing w:line="276" w:lineRule="auto"/>
              <w:jc w:val="right"/>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t>144</w:t>
            </w:r>
          </w:p>
        </w:tc>
        <w:tc>
          <w:tcPr>
            <w:tcW w:w="1243" w:type="dxa"/>
            <w:tcBorders>
              <w:top w:val="nil"/>
              <w:bottom w:val="single" w:sz="4" w:space="0" w:color="000000"/>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w:t>
            </w:r>
          </w:p>
        </w:tc>
        <w:tc>
          <w:tcPr>
            <w:tcW w:w="1367" w:type="dxa"/>
            <w:tcBorders>
              <w:top w:val="nil"/>
              <w:bottom w:val="single" w:sz="4" w:space="0" w:color="000000"/>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1557</w:t>
            </w:r>
          </w:p>
        </w:tc>
        <w:tc>
          <w:tcPr>
            <w:tcW w:w="1254" w:type="dxa"/>
            <w:tcBorders>
              <w:top w:val="nil"/>
              <w:bottom w:val="single" w:sz="4" w:space="0" w:color="000000"/>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98.986</w:t>
            </w:r>
          </w:p>
        </w:tc>
        <w:tc>
          <w:tcPr>
            <w:tcW w:w="1896" w:type="dxa"/>
            <w:tcBorders>
              <w:top w:val="nil"/>
              <w:bottom w:val="single" w:sz="4" w:space="0" w:color="000000"/>
            </w:tcBorders>
          </w:tcPr>
          <w:p w:rsidR="00D3058A" w:rsidRPr="0056450E" w:rsidRDefault="0056450E">
            <w:pPr>
              <w:spacing w:line="276" w:lineRule="auto"/>
              <w:ind w:left="60" w:right="6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311.356</w:t>
            </w:r>
          </w:p>
        </w:tc>
      </w:tr>
    </w:tbl>
    <w:p w:rsidR="00D3058A" w:rsidRPr="0056450E" w:rsidRDefault="00D3058A">
      <w:pPr>
        <w:spacing w:after="0" w:line="276" w:lineRule="auto"/>
        <w:jc w:val="both"/>
        <w:rPr>
          <w:rFonts w:ascii="Times New Roman" w:eastAsia="Times New Roman" w:hAnsi="Times New Roman" w:cs="Times New Roman"/>
          <w:sz w:val="20"/>
          <w:szCs w:val="20"/>
        </w:rPr>
      </w:pPr>
    </w:p>
    <w:p w:rsidR="00D3058A" w:rsidRDefault="0056450E" w:rsidP="005D2CDF">
      <w:pPr>
        <w:spacing w:after="0" w:line="240" w:lineRule="auto"/>
        <w:jc w:val="both"/>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t>Table 2 presents the results of the pairwise correlation of the variables. The table has also shown an insignificant association between CGD score and stock prices (coefficient = 0.1308), and there is insignificant relationship with the return on assets (coefficient = -0.0018). Overall, the table has shown that the problem of multicollinearity between the variables does not exist given that the correlation coefficients between the predictor variables have not exceeded 80%.</w:t>
      </w:r>
    </w:p>
    <w:p w:rsidR="00D3058A" w:rsidRPr="0056450E" w:rsidRDefault="0056450E">
      <w:pPr>
        <w:spacing w:before="240" w:after="0" w:line="276" w:lineRule="auto"/>
        <w:jc w:val="both"/>
        <w:rPr>
          <w:rFonts w:ascii="Times New Roman" w:eastAsia="Times New Roman" w:hAnsi="Times New Roman" w:cs="Times New Roman"/>
          <w:sz w:val="20"/>
          <w:szCs w:val="20"/>
        </w:rPr>
      </w:pPr>
      <w:r w:rsidRPr="0056450E">
        <w:rPr>
          <w:rFonts w:ascii="Times New Roman" w:eastAsia="Times New Roman" w:hAnsi="Times New Roman" w:cs="Times New Roman"/>
          <w:sz w:val="20"/>
          <w:szCs w:val="20"/>
        </w:rPr>
        <w:t>Table 2: Pairwise correlation matrix</w:t>
      </w:r>
    </w:p>
    <w:tbl>
      <w:tblPr>
        <w:tblStyle w:val="a0"/>
        <w:tblW w:w="8370" w:type="dxa"/>
        <w:tblBorders>
          <w:top w:val="single" w:sz="4" w:space="0" w:color="000000"/>
          <w:bottom w:val="single" w:sz="4" w:space="0" w:color="000000"/>
        </w:tblBorders>
        <w:tblLayout w:type="fixed"/>
        <w:tblLook w:val="0000" w:firstRow="0" w:lastRow="0" w:firstColumn="0" w:lastColumn="0" w:noHBand="0" w:noVBand="0"/>
      </w:tblPr>
      <w:tblGrid>
        <w:gridCol w:w="990"/>
        <w:gridCol w:w="1530"/>
        <w:gridCol w:w="1440"/>
        <w:gridCol w:w="1530"/>
        <w:gridCol w:w="1440"/>
        <w:gridCol w:w="1440"/>
      </w:tblGrid>
      <w:tr w:rsidR="00D3058A" w:rsidRPr="0056450E">
        <w:trPr>
          <w:cantSplit/>
        </w:trPr>
        <w:tc>
          <w:tcPr>
            <w:tcW w:w="990" w:type="dxa"/>
            <w:tcBorders>
              <w:top w:val="single" w:sz="4" w:space="0" w:color="000000"/>
              <w:bottom w:val="single" w:sz="4" w:space="0" w:color="000000"/>
            </w:tcBorders>
            <w:shd w:val="clear" w:color="auto" w:fill="AEAAAA"/>
          </w:tcPr>
          <w:p w:rsidR="00D3058A" w:rsidRPr="0056450E" w:rsidRDefault="00D3058A">
            <w:pPr>
              <w:spacing w:after="0" w:line="276" w:lineRule="auto"/>
              <w:ind w:left="60" w:right="60"/>
              <w:rPr>
                <w:rFonts w:ascii="Times New Roman" w:eastAsia="Times New Roman" w:hAnsi="Times New Roman" w:cs="Times New Roman"/>
                <w:color w:val="000000"/>
                <w:sz w:val="20"/>
                <w:szCs w:val="20"/>
              </w:rPr>
            </w:pPr>
          </w:p>
        </w:tc>
        <w:tc>
          <w:tcPr>
            <w:tcW w:w="1530" w:type="dxa"/>
            <w:tcBorders>
              <w:top w:val="single" w:sz="4" w:space="0" w:color="000000"/>
              <w:bottom w:val="single" w:sz="4" w:space="0" w:color="000000"/>
            </w:tcBorders>
            <w:shd w:val="clear" w:color="auto" w:fill="AEAAAA"/>
          </w:tcPr>
          <w:p w:rsidR="00D3058A" w:rsidRPr="0056450E" w:rsidRDefault="0056450E">
            <w:pPr>
              <w:spacing w:before="240" w:after="0" w:line="276" w:lineRule="auto"/>
              <w:ind w:left="60" w:right="60"/>
              <w:jc w:val="center"/>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cgd</w:t>
            </w:r>
            <w:proofErr w:type="spellEnd"/>
          </w:p>
        </w:tc>
        <w:tc>
          <w:tcPr>
            <w:tcW w:w="1440" w:type="dxa"/>
            <w:tcBorders>
              <w:top w:val="single" w:sz="4" w:space="0" w:color="000000"/>
              <w:bottom w:val="single" w:sz="4" w:space="0" w:color="000000"/>
            </w:tcBorders>
            <w:shd w:val="clear" w:color="auto" w:fill="AEAAAA"/>
          </w:tcPr>
          <w:p w:rsidR="00D3058A" w:rsidRPr="0056450E" w:rsidRDefault="0056450E">
            <w:pPr>
              <w:spacing w:before="240" w:after="0" w:line="276" w:lineRule="auto"/>
              <w:ind w:left="60" w:right="60"/>
              <w:jc w:val="center"/>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Fsize</w:t>
            </w:r>
            <w:proofErr w:type="spellEnd"/>
          </w:p>
        </w:tc>
        <w:tc>
          <w:tcPr>
            <w:tcW w:w="1530" w:type="dxa"/>
            <w:tcBorders>
              <w:top w:val="single" w:sz="4" w:space="0" w:color="000000"/>
              <w:bottom w:val="single" w:sz="4" w:space="0" w:color="000000"/>
            </w:tcBorders>
            <w:shd w:val="clear" w:color="auto" w:fill="AEAAAA"/>
          </w:tcPr>
          <w:p w:rsidR="00D3058A" w:rsidRPr="0056450E" w:rsidRDefault="0056450E">
            <w:pPr>
              <w:spacing w:before="240" w:after="0" w:line="276" w:lineRule="auto"/>
              <w:ind w:left="60" w:right="60"/>
              <w:jc w:val="center"/>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roa</w:t>
            </w:r>
            <w:proofErr w:type="spellEnd"/>
            <w:r w:rsidRPr="0056450E">
              <w:rPr>
                <w:rFonts w:ascii="Times New Roman" w:eastAsia="Times New Roman" w:hAnsi="Times New Roman" w:cs="Times New Roman"/>
                <w:color w:val="000000"/>
                <w:sz w:val="20"/>
                <w:szCs w:val="20"/>
              </w:rPr>
              <w:t xml:space="preserve"> </w:t>
            </w:r>
          </w:p>
        </w:tc>
        <w:tc>
          <w:tcPr>
            <w:tcW w:w="1440" w:type="dxa"/>
            <w:tcBorders>
              <w:top w:val="single" w:sz="4" w:space="0" w:color="000000"/>
              <w:bottom w:val="single" w:sz="4" w:space="0" w:color="000000"/>
            </w:tcBorders>
            <w:shd w:val="clear" w:color="auto" w:fill="AEAAAA"/>
          </w:tcPr>
          <w:p w:rsidR="00D3058A" w:rsidRPr="0056450E" w:rsidRDefault="0056450E">
            <w:pPr>
              <w:spacing w:before="240" w:after="0" w:line="276" w:lineRule="auto"/>
              <w:ind w:left="60" w:right="60"/>
              <w:jc w:val="center"/>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Sp</w:t>
            </w:r>
            <w:proofErr w:type="spellEnd"/>
          </w:p>
        </w:tc>
        <w:tc>
          <w:tcPr>
            <w:tcW w:w="1440" w:type="dxa"/>
            <w:tcBorders>
              <w:top w:val="single" w:sz="4" w:space="0" w:color="000000"/>
              <w:bottom w:val="single" w:sz="4" w:space="0" w:color="000000"/>
            </w:tcBorders>
            <w:shd w:val="clear" w:color="auto" w:fill="AEAAAA"/>
          </w:tcPr>
          <w:p w:rsidR="00D3058A" w:rsidRPr="0056450E" w:rsidRDefault="0056450E">
            <w:pPr>
              <w:spacing w:before="240" w:after="0" w:line="276" w:lineRule="auto"/>
              <w:ind w:left="60" w:right="60"/>
              <w:jc w:val="center"/>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levr</w:t>
            </w:r>
            <w:proofErr w:type="spellEnd"/>
          </w:p>
        </w:tc>
      </w:tr>
      <w:tr w:rsidR="00D3058A" w:rsidRPr="0056450E">
        <w:trPr>
          <w:cantSplit/>
        </w:trPr>
        <w:tc>
          <w:tcPr>
            <w:tcW w:w="990" w:type="dxa"/>
            <w:tcBorders>
              <w:top w:val="single" w:sz="4" w:space="0" w:color="000000"/>
            </w:tcBorders>
            <w:shd w:val="clear" w:color="auto" w:fill="FFFFFF"/>
            <w:vAlign w:val="center"/>
          </w:tcPr>
          <w:p w:rsidR="00D3058A" w:rsidRPr="0056450E" w:rsidRDefault="0056450E">
            <w:pPr>
              <w:spacing w:after="0" w:line="276" w:lineRule="auto"/>
              <w:ind w:left="60" w:right="60"/>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Cgd</w:t>
            </w:r>
            <w:proofErr w:type="spellEnd"/>
          </w:p>
        </w:tc>
        <w:tc>
          <w:tcPr>
            <w:tcW w:w="1530" w:type="dxa"/>
            <w:tcBorders>
              <w:top w:val="single" w:sz="4" w:space="0" w:color="000000"/>
            </w:tcBorders>
            <w:shd w:val="clear" w:color="auto" w:fill="FFFFFF"/>
            <w:vAlign w:val="center"/>
          </w:tcPr>
          <w:p w:rsidR="00D3058A" w:rsidRPr="0056450E" w:rsidRDefault="0056450E">
            <w:pPr>
              <w:spacing w:before="240"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1.000</w:t>
            </w:r>
          </w:p>
        </w:tc>
        <w:tc>
          <w:tcPr>
            <w:tcW w:w="1440" w:type="dxa"/>
            <w:tcBorders>
              <w:top w:val="single" w:sz="4" w:space="0" w:color="000000"/>
            </w:tcBorders>
            <w:shd w:val="clear" w:color="auto" w:fill="FFFFFF"/>
            <w:vAlign w:val="center"/>
          </w:tcPr>
          <w:p w:rsidR="00D3058A" w:rsidRPr="0056450E" w:rsidRDefault="00D3058A">
            <w:pPr>
              <w:spacing w:after="0" w:line="276" w:lineRule="auto"/>
              <w:ind w:left="60" w:right="270"/>
              <w:jc w:val="right"/>
              <w:rPr>
                <w:rFonts w:ascii="Times New Roman" w:eastAsia="Times New Roman" w:hAnsi="Times New Roman" w:cs="Times New Roman"/>
                <w:color w:val="000000"/>
                <w:sz w:val="20"/>
                <w:szCs w:val="20"/>
              </w:rPr>
            </w:pPr>
          </w:p>
        </w:tc>
        <w:tc>
          <w:tcPr>
            <w:tcW w:w="1530" w:type="dxa"/>
            <w:tcBorders>
              <w:top w:val="single" w:sz="4" w:space="0" w:color="000000"/>
            </w:tcBorders>
            <w:shd w:val="clear" w:color="auto" w:fill="FFFFFF"/>
            <w:vAlign w:val="center"/>
          </w:tcPr>
          <w:p w:rsidR="00D3058A" w:rsidRPr="0056450E" w:rsidRDefault="00D3058A">
            <w:pPr>
              <w:spacing w:after="0" w:line="276" w:lineRule="auto"/>
              <w:ind w:left="60" w:right="270"/>
              <w:jc w:val="right"/>
              <w:rPr>
                <w:rFonts w:ascii="Times New Roman" w:eastAsia="Times New Roman" w:hAnsi="Times New Roman" w:cs="Times New Roman"/>
                <w:color w:val="000000"/>
                <w:sz w:val="20"/>
                <w:szCs w:val="20"/>
              </w:rPr>
            </w:pPr>
          </w:p>
        </w:tc>
        <w:tc>
          <w:tcPr>
            <w:tcW w:w="1440" w:type="dxa"/>
            <w:tcBorders>
              <w:top w:val="single" w:sz="4" w:space="0" w:color="000000"/>
            </w:tcBorders>
            <w:shd w:val="clear" w:color="auto" w:fill="FFFFFF"/>
            <w:vAlign w:val="center"/>
          </w:tcPr>
          <w:p w:rsidR="00D3058A" w:rsidRPr="0056450E" w:rsidRDefault="00D3058A">
            <w:pPr>
              <w:spacing w:after="0" w:line="276" w:lineRule="auto"/>
              <w:ind w:left="60" w:right="270"/>
              <w:jc w:val="right"/>
              <w:rPr>
                <w:rFonts w:ascii="Times New Roman" w:eastAsia="Times New Roman" w:hAnsi="Times New Roman" w:cs="Times New Roman"/>
                <w:color w:val="000000"/>
                <w:sz w:val="20"/>
                <w:szCs w:val="20"/>
              </w:rPr>
            </w:pPr>
          </w:p>
        </w:tc>
        <w:tc>
          <w:tcPr>
            <w:tcW w:w="1440" w:type="dxa"/>
            <w:tcBorders>
              <w:top w:val="single" w:sz="4" w:space="0" w:color="000000"/>
            </w:tcBorders>
            <w:shd w:val="clear" w:color="auto" w:fill="FFFFFF"/>
            <w:vAlign w:val="center"/>
          </w:tcPr>
          <w:p w:rsidR="00D3058A" w:rsidRPr="0056450E" w:rsidRDefault="00D3058A">
            <w:pPr>
              <w:spacing w:after="0" w:line="276" w:lineRule="auto"/>
              <w:ind w:left="60" w:right="270"/>
              <w:jc w:val="right"/>
              <w:rPr>
                <w:rFonts w:ascii="Times New Roman" w:eastAsia="Times New Roman" w:hAnsi="Times New Roman" w:cs="Times New Roman"/>
                <w:color w:val="000000"/>
                <w:sz w:val="20"/>
                <w:szCs w:val="20"/>
              </w:rPr>
            </w:pPr>
          </w:p>
        </w:tc>
      </w:tr>
      <w:tr w:rsidR="00D3058A" w:rsidRPr="0056450E">
        <w:trPr>
          <w:cantSplit/>
        </w:trPr>
        <w:tc>
          <w:tcPr>
            <w:tcW w:w="990" w:type="dxa"/>
            <w:shd w:val="clear" w:color="auto" w:fill="FFFFFF"/>
            <w:vAlign w:val="center"/>
          </w:tcPr>
          <w:p w:rsidR="00D3058A" w:rsidRPr="0056450E" w:rsidRDefault="0056450E">
            <w:pPr>
              <w:spacing w:after="0" w:line="276" w:lineRule="auto"/>
              <w:ind w:left="60" w:right="60"/>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Fsize</w:t>
            </w:r>
            <w:proofErr w:type="spellEnd"/>
          </w:p>
        </w:tc>
        <w:tc>
          <w:tcPr>
            <w:tcW w:w="1530" w:type="dxa"/>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-0.1018</w:t>
            </w:r>
          </w:p>
        </w:tc>
        <w:tc>
          <w:tcPr>
            <w:tcW w:w="1440" w:type="dxa"/>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1.000</w:t>
            </w:r>
          </w:p>
        </w:tc>
        <w:tc>
          <w:tcPr>
            <w:tcW w:w="1530" w:type="dxa"/>
            <w:shd w:val="clear" w:color="auto" w:fill="FFFFFF"/>
            <w:vAlign w:val="center"/>
          </w:tcPr>
          <w:p w:rsidR="00D3058A" w:rsidRPr="0056450E" w:rsidRDefault="00D3058A">
            <w:pPr>
              <w:spacing w:after="0" w:line="276" w:lineRule="auto"/>
              <w:ind w:left="60" w:right="270"/>
              <w:jc w:val="right"/>
              <w:rPr>
                <w:rFonts w:ascii="Times New Roman" w:eastAsia="Times New Roman" w:hAnsi="Times New Roman" w:cs="Times New Roman"/>
                <w:color w:val="000000"/>
                <w:sz w:val="20"/>
                <w:szCs w:val="20"/>
              </w:rPr>
            </w:pPr>
          </w:p>
        </w:tc>
        <w:tc>
          <w:tcPr>
            <w:tcW w:w="1440" w:type="dxa"/>
            <w:shd w:val="clear" w:color="auto" w:fill="FFFFFF"/>
            <w:vAlign w:val="center"/>
          </w:tcPr>
          <w:p w:rsidR="00D3058A" w:rsidRPr="0056450E" w:rsidRDefault="00D3058A">
            <w:pPr>
              <w:spacing w:after="0" w:line="276" w:lineRule="auto"/>
              <w:ind w:left="60" w:right="270"/>
              <w:jc w:val="right"/>
              <w:rPr>
                <w:rFonts w:ascii="Times New Roman" w:eastAsia="Times New Roman" w:hAnsi="Times New Roman" w:cs="Times New Roman"/>
                <w:b/>
                <w:color w:val="000000"/>
                <w:sz w:val="20"/>
                <w:szCs w:val="20"/>
              </w:rPr>
            </w:pPr>
          </w:p>
        </w:tc>
        <w:tc>
          <w:tcPr>
            <w:tcW w:w="1440" w:type="dxa"/>
            <w:shd w:val="clear" w:color="auto" w:fill="FFFFFF"/>
            <w:vAlign w:val="center"/>
          </w:tcPr>
          <w:p w:rsidR="00D3058A" w:rsidRPr="0056450E" w:rsidRDefault="00D3058A">
            <w:pPr>
              <w:spacing w:after="0" w:line="276" w:lineRule="auto"/>
              <w:ind w:left="60" w:right="270"/>
              <w:jc w:val="right"/>
              <w:rPr>
                <w:rFonts w:ascii="Times New Roman" w:eastAsia="Times New Roman" w:hAnsi="Times New Roman" w:cs="Times New Roman"/>
                <w:color w:val="000000"/>
                <w:sz w:val="20"/>
                <w:szCs w:val="20"/>
              </w:rPr>
            </w:pPr>
          </w:p>
        </w:tc>
      </w:tr>
      <w:tr w:rsidR="00D3058A" w:rsidRPr="0056450E">
        <w:trPr>
          <w:cantSplit/>
        </w:trPr>
        <w:tc>
          <w:tcPr>
            <w:tcW w:w="990" w:type="dxa"/>
            <w:shd w:val="clear" w:color="auto" w:fill="FFFFFF"/>
            <w:vAlign w:val="center"/>
          </w:tcPr>
          <w:p w:rsidR="00D3058A" w:rsidRPr="0056450E" w:rsidRDefault="0056450E">
            <w:pPr>
              <w:spacing w:after="0" w:line="276" w:lineRule="auto"/>
              <w:ind w:left="60" w:right="60"/>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Roa</w:t>
            </w:r>
            <w:proofErr w:type="spellEnd"/>
          </w:p>
        </w:tc>
        <w:tc>
          <w:tcPr>
            <w:tcW w:w="1530" w:type="dxa"/>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0.0018</w:t>
            </w:r>
          </w:p>
        </w:tc>
        <w:tc>
          <w:tcPr>
            <w:tcW w:w="1440" w:type="dxa"/>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0.0842</w:t>
            </w:r>
          </w:p>
        </w:tc>
        <w:tc>
          <w:tcPr>
            <w:tcW w:w="1530" w:type="dxa"/>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1.000</w:t>
            </w:r>
          </w:p>
        </w:tc>
        <w:tc>
          <w:tcPr>
            <w:tcW w:w="1440" w:type="dxa"/>
            <w:shd w:val="clear" w:color="auto" w:fill="FFFFFF"/>
            <w:vAlign w:val="center"/>
          </w:tcPr>
          <w:p w:rsidR="00D3058A" w:rsidRPr="0056450E" w:rsidRDefault="00D3058A">
            <w:pPr>
              <w:spacing w:after="0" w:line="276" w:lineRule="auto"/>
              <w:ind w:left="60" w:right="270"/>
              <w:jc w:val="right"/>
              <w:rPr>
                <w:rFonts w:ascii="Times New Roman" w:eastAsia="Times New Roman" w:hAnsi="Times New Roman" w:cs="Times New Roman"/>
                <w:color w:val="000000"/>
                <w:sz w:val="20"/>
                <w:szCs w:val="20"/>
              </w:rPr>
            </w:pPr>
          </w:p>
        </w:tc>
        <w:tc>
          <w:tcPr>
            <w:tcW w:w="1440" w:type="dxa"/>
            <w:shd w:val="clear" w:color="auto" w:fill="FFFFFF"/>
            <w:vAlign w:val="center"/>
          </w:tcPr>
          <w:p w:rsidR="00D3058A" w:rsidRPr="0056450E" w:rsidRDefault="00D3058A">
            <w:pPr>
              <w:spacing w:after="0" w:line="276" w:lineRule="auto"/>
              <w:ind w:left="60" w:right="270"/>
              <w:jc w:val="right"/>
              <w:rPr>
                <w:rFonts w:ascii="Times New Roman" w:eastAsia="Times New Roman" w:hAnsi="Times New Roman" w:cs="Times New Roman"/>
                <w:color w:val="000000"/>
                <w:sz w:val="20"/>
                <w:szCs w:val="20"/>
              </w:rPr>
            </w:pPr>
          </w:p>
        </w:tc>
      </w:tr>
      <w:tr w:rsidR="00D3058A" w:rsidRPr="0056450E">
        <w:trPr>
          <w:cantSplit/>
        </w:trPr>
        <w:tc>
          <w:tcPr>
            <w:tcW w:w="990" w:type="dxa"/>
            <w:tcBorders>
              <w:bottom w:val="nil"/>
            </w:tcBorders>
            <w:shd w:val="clear" w:color="auto" w:fill="FFFFFF"/>
            <w:vAlign w:val="center"/>
          </w:tcPr>
          <w:p w:rsidR="00D3058A" w:rsidRPr="0056450E" w:rsidRDefault="0056450E">
            <w:pPr>
              <w:spacing w:after="0" w:line="276" w:lineRule="auto"/>
              <w:ind w:left="60" w:right="60"/>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Sp</w:t>
            </w:r>
            <w:proofErr w:type="spellEnd"/>
          </w:p>
        </w:tc>
        <w:tc>
          <w:tcPr>
            <w:tcW w:w="1530" w:type="dxa"/>
            <w:tcBorders>
              <w:bottom w:val="nil"/>
            </w:tcBorders>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0.1308</w:t>
            </w:r>
          </w:p>
        </w:tc>
        <w:tc>
          <w:tcPr>
            <w:tcW w:w="1440" w:type="dxa"/>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0.2100</w:t>
            </w:r>
          </w:p>
        </w:tc>
        <w:tc>
          <w:tcPr>
            <w:tcW w:w="1530" w:type="dxa"/>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0.4796</w:t>
            </w:r>
          </w:p>
        </w:tc>
        <w:tc>
          <w:tcPr>
            <w:tcW w:w="1440" w:type="dxa"/>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1.000</w:t>
            </w:r>
          </w:p>
        </w:tc>
        <w:tc>
          <w:tcPr>
            <w:tcW w:w="1440" w:type="dxa"/>
            <w:shd w:val="clear" w:color="auto" w:fill="FFFFFF"/>
            <w:vAlign w:val="center"/>
          </w:tcPr>
          <w:p w:rsidR="00D3058A" w:rsidRPr="0056450E" w:rsidRDefault="00D3058A">
            <w:pPr>
              <w:spacing w:after="0" w:line="276" w:lineRule="auto"/>
              <w:ind w:left="60" w:right="270"/>
              <w:jc w:val="right"/>
              <w:rPr>
                <w:rFonts w:ascii="Times New Roman" w:eastAsia="Times New Roman" w:hAnsi="Times New Roman" w:cs="Times New Roman"/>
                <w:color w:val="000000"/>
                <w:sz w:val="20"/>
                <w:szCs w:val="20"/>
              </w:rPr>
            </w:pPr>
          </w:p>
        </w:tc>
      </w:tr>
      <w:tr w:rsidR="00D3058A" w:rsidRPr="0056450E">
        <w:trPr>
          <w:cantSplit/>
        </w:trPr>
        <w:tc>
          <w:tcPr>
            <w:tcW w:w="990" w:type="dxa"/>
            <w:tcBorders>
              <w:top w:val="nil"/>
              <w:bottom w:val="single" w:sz="4" w:space="0" w:color="000000"/>
            </w:tcBorders>
            <w:shd w:val="clear" w:color="auto" w:fill="FFFFFF"/>
            <w:vAlign w:val="center"/>
          </w:tcPr>
          <w:p w:rsidR="00D3058A" w:rsidRPr="0056450E" w:rsidRDefault="0056450E">
            <w:pPr>
              <w:spacing w:after="0" w:line="276" w:lineRule="auto"/>
              <w:ind w:left="60" w:right="60"/>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Levr</w:t>
            </w:r>
            <w:proofErr w:type="spellEnd"/>
          </w:p>
        </w:tc>
        <w:tc>
          <w:tcPr>
            <w:tcW w:w="1530" w:type="dxa"/>
            <w:tcBorders>
              <w:top w:val="nil"/>
              <w:bottom w:val="single" w:sz="4" w:space="0" w:color="000000"/>
            </w:tcBorders>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0.1349</w:t>
            </w:r>
          </w:p>
        </w:tc>
        <w:tc>
          <w:tcPr>
            <w:tcW w:w="1440" w:type="dxa"/>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0.1952</w:t>
            </w:r>
          </w:p>
        </w:tc>
        <w:tc>
          <w:tcPr>
            <w:tcW w:w="1530" w:type="dxa"/>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0.0535</w:t>
            </w:r>
          </w:p>
        </w:tc>
        <w:tc>
          <w:tcPr>
            <w:tcW w:w="1440" w:type="dxa"/>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0.3267</w:t>
            </w:r>
          </w:p>
        </w:tc>
        <w:tc>
          <w:tcPr>
            <w:tcW w:w="1440" w:type="dxa"/>
            <w:shd w:val="clear" w:color="auto" w:fill="FFFFFF"/>
            <w:vAlign w:val="center"/>
          </w:tcPr>
          <w:p w:rsidR="00D3058A" w:rsidRPr="0056450E" w:rsidRDefault="0056450E">
            <w:pPr>
              <w:spacing w:after="0" w:line="276" w:lineRule="auto"/>
              <w:ind w:left="60" w:right="270"/>
              <w:jc w:val="right"/>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1.000</w:t>
            </w:r>
          </w:p>
        </w:tc>
      </w:tr>
    </w:tbl>
    <w:p w:rsidR="00D3058A" w:rsidRPr="0056450E" w:rsidRDefault="00D3058A">
      <w:pPr>
        <w:spacing w:after="0" w:line="276" w:lineRule="auto"/>
        <w:jc w:val="both"/>
        <w:rPr>
          <w:rFonts w:ascii="Times New Roman" w:eastAsia="Times New Roman" w:hAnsi="Times New Roman" w:cs="Times New Roman"/>
          <w:sz w:val="20"/>
          <w:szCs w:val="20"/>
        </w:rPr>
      </w:pPr>
    </w:p>
    <w:p w:rsidR="00D3058A" w:rsidRPr="0056450E" w:rsidRDefault="0056450E" w:rsidP="0056450E">
      <w:pPr>
        <w:numPr>
          <w:ilvl w:val="1"/>
          <w:numId w:val="2"/>
        </w:numPr>
        <w:pBdr>
          <w:top w:val="nil"/>
          <w:left w:val="nil"/>
          <w:bottom w:val="nil"/>
          <w:right w:val="nil"/>
          <w:between w:val="nil"/>
        </w:pBdr>
        <w:spacing w:after="0" w:line="276" w:lineRule="auto"/>
        <w:ind w:left="720"/>
        <w:jc w:val="both"/>
        <w:rPr>
          <w:rFonts w:ascii="Times New Roman" w:eastAsia="Times New Roman" w:hAnsi="Times New Roman" w:cs="Times New Roman"/>
          <w:b/>
          <w:color w:val="000000"/>
          <w:sz w:val="20"/>
          <w:szCs w:val="20"/>
        </w:rPr>
      </w:pPr>
      <w:r w:rsidRPr="0056450E">
        <w:rPr>
          <w:rFonts w:ascii="Times New Roman" w:eastAsia="Times New Roman" w:hAnsi="Times New Roman" w:cs="Times New Roman"/>
          <w:b/>
          <w:color w:val="000000"/>
          <w:sz w:val="20"/>
          <w:szCs w:val="20"/>
        </w:rPr>
        <w:t>Diagnostic tests</w:t>
      </w:r>
    </w:p>
    <w:p w:rsidR="00D3058A" w:rsidRDefault="0056450E"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 xml:space="preserve">The study has undertaken various diagnostic tests to ensure the validity of the study outcomes. Among these are the Shapiro-Wilk test, the test for </w:t>
      </w:r>
      <w:proofErr w:type="spellStart"/>
      <w:r w:rsidRPr="0056450E">
        <w:rPr>
          <w:rFonts w:ascii="Times New Roman" w:eastAsia="Times New Roman" w:hAnsi="Times New Roman" w:cs="Times New Roman"/>
          <w:sz w:val="20"/>
          <w:szCs w:val="20"/>
        </w:rPr>
        <w:t>heteroskedasticity</w:t>
      </w:r>
      <w:proofErr w:type="spellEnd"/>
      <w:r w:rsidRPr="0056450E">
        <w:rPr>
          <w:rFonts w:ascii="Times New Roman" w:eastAsia="Times New Roman" w:hAnsi="Times New Roman" w:cs="Times New Roman"/>
          <w:color w:val="000000"/>
          <w:sz w:val="20"/>
          <w:szCs w:val="20"/>
        </w:rPr>
        <w:t xml:space="preserve"> using the </w:t>
      </w:r>
      <w:proofErr w:type="spellStart"/>
      <w:r w:rsidRPr="0056450E">
        <w:rPr>
          <w:rFonts w:ascii="Times New Roman" w:eastAsia="Times New Roman" w:hAnsi="Times New Roman" w:cs="Times New Roman"/>
          <w:color w:val="000000"/>
          <w:sz w:val="20"/>
          <w:szCs w:val="20"/>
        </w:rPr>
        <w:t>Bruesch</w:t>
      </w:r>
      <w:proofErr w:type="spellEnd"/>
      <w:r w:rsidRPr="0056450E">
        <w:rPr>
          <w:rFonts w:ascii="Times New Roman" w:eastAsia="Times New Roman" w:hAnsi="Times New Roman" w:cs="Times New Roman"/>
          <w:color w:val="000000"/>
          <w:sz w:val="20"/>
          <w:szCs w:val="20"/>
        </w:rPr>
        <w:t xml:space="preserve">-Pagan test, and the test serial correlation using the Wooldridge test. The results of these tests are presented on Table 3 to 5. </w:t>
      </w:r>
    </w:p>
    <w:p w:rsidR="0056450E" w:rsidRPr="0056450E" w:rsidRDefault="0056450E"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6450E" w:rsidRDefault="0056450E"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4"/>
        </w:rPr>
      </w:pPr>
      <w:r w:rsidRPr="0056450E">
        <w:rPr>
          <w:rFonts w:ascii="Times New Roman" w:eastAsia="Times New Roman" w:hAnsi="Times New Roman" w:cs="Times New Roman"/>
          <w:color w:val="000000"/>
          <w:sz w:val="20"/>
          <w:szCs w:val="24"/>
        </w:rPr>
        <w:t xml:space="preserve">The Shapiro-Wilk test for normality is presented </w:t>
      </w:r>
      <w:r w:rsidRPr="0056450E">
        <w:rPr>
          <w:rFonts w:ascii="Times New Roman" w:eastAsia="Times New Roman" w:hAnsi="Times New Roman" w:cs="Times New Roman"/>
          <w:sz w:val="20"/>
          <w:szCs w:val="24"/>
        </w:rPr>
        <w:t>on Table</w:t>
      </w:r>
      <w:r w:rsidRPr="0056450E">
        <w:rPr>
          <w:rFonts w:ascii="Times New Roman" w:eastAsia="Times New Roman" w:hAnsi="Times New Roman" w:cs="Times New Roman"/>
          <w:color w:val="000000"/>
          <w:sz w:val="20"/>
          <w:szCs w:val="24"/>
        </w:rPr>
        <w:t xml:space="preserve"> 3. From the results of the test, it is clear that, except leverage, every other is not normally distributed since they all have significant p-values (</w:t>
      </w:r>
      <w:proofErr w:type="spellStart"/>
      <w:r w:rsidRPr="0056450E">
        <w:rPr>
          <w:rFonts w:ascii="Times New Roman" w:eastAsia="Times New Roman" w:hAnsi="Times New Roman" w:cs="Times New Roman"/>
          <w:color w:val="000000"/>
          <w:sz w:val="20"/>
          <w:szCs w:val="24"/>
        </w:rPr>
        <w:t>Prob</w:t>
      </w:r>
      <w:proofErr w:type="spellEnd"/>
      <w:r w:rsidRPr="0056450E">
        <w:rPr>
          <w:rFonts w:ascii="Times New Roman" w:eastAsia="Times New Roman" w:hAnsi="Times New Roman" w:cs="Times New Roman"/>
          <w:color w:val="000000"/>
          <w:sz w:val="20"/>
          <w:szCs w:val="24"/>
        </w:rPr>
        <w:t>&gt;z). As such, we reject the null hypothesis of normal distribution.</w:t>
      </w:r>
    </w:p>
    <w:p w:rsidR="005D2CDF" w:rsidRDefault="005D2CDF">
      <w:pPr>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4"/>
        </w:rPr>
      </w:pPr>
    </w:p>
    <w:p w:rsidR="00D3058A" w:rsidRPr="0056450E" w:rsidRDefault="0056450E">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Table 3: Shapiro-Wilk Test for Normality</w:t>
      </w:r>
    </w:p>
    <w:tbl>
      <w:tblPr>
        <w:tblStyle w:val="a1"/>
        <w:tblW w:w="6655"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503"/>
        <w:gridCol w:w="922"/>
        <w:gridCol w:w="1129"/>
        <w:gridCol w:w="976"/>
        <w:gridCol w:w="955"/>
        <w:gridCol w:w="1170"/>
      </w:tblGrid>
      <w:tr w:rsidR="00D3058A" w:rsidRPr="0056450E">
        <w:tc>
          <w:tcPr>
            <w:tcW w:w="1503" w:type="dxa"/>
            <w:tcBorders>
              <w:left w:val="nil"/>
              <w:bottom w:val="single" w:sz="4" w:space="0" w:color="000000"/>
            </w:tcBorders>
            <w:shd w:val="clear" w:color="auto" w:fill="BFBFBF"/>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Variable</w:t>
            </w:r>
          </w:p>
        </w:tc>
        <w:tc>
          <w:tcPr>
            <w:tcW w:w="922" w:type="dxa"/>
            <w:tcBorders>
              <w:bottom w:val="single" w:sz="4" w:space="0" w:color="000000"/>
            </w:tcBorders>
            <w:shd w:val="clear" w:color="auto" w:fill="BFBFBF"/>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Obs</w:t>
            </w:r>
            <w:proofErr w:type="spellEnd"/>
          </w:p>
        </w:tc>
        <w:tc>
          <w:tcPr>
            <w:tcW w:w="1129" w:type="dxa"/>
            <w:tcBorders>
              <w:bottom w:val="single" w:sz="4" w:space="0" w:color="000000"/>
            </w:tcBorders>
            <w:shd w:val="clear" w:color="auto" w:fill="BFBFBF"/>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W</w:t>
            </w:r>
          </w:p>
        </w:tc>
        <w:tc>
          <w:tcPr>
            <w:tcW w:w="976" w:type="dxa"/>
            <w:tcBorders>
              <w:bottom w:val="single" w:sz="4" w:space="0" w:color="000000"/>
            </w:tcBorders>
            <w:shd w:val="clear" w:color="auto" w:fill="BFBFBF"/>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V</w:t>
            </w:r>
          </w:p>
        </w:tc>
        <w:tc>
          <w:tcPr>
            <w:tcW w:w="955" w:type="dxa"/>
            <w:tcBorders>
              <w:bottom w:val="single" w:sz="4" w:space="0" w:color="000000"/>
            </w:tcBorders>
            <w:shd w:val="clear" w:color="auto" w:fill="BFBFBF"/>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Z</w:t>
            </w:r>
          </w:p>
        </w:tc>
        <w:tc>
          <w:tcPr>
            <w:tcW w:w="1170" w:type="dxa"/>
            <w:tcBorders>
              <w:bottom w:val="single" w:sz="4" w:space="0" w:color="000000"/>
              <w:right w:val="nil"/>
            </w:tcBorders>
            <w:shd w:val="clear" w:color="auto" w:fill="BFBFBF"/>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Prob</w:t>
            </w:r>
            <w:proofErr w:type="spellEnd"/>
            <w:r w:rsidRPr="0056450E">
              <w:rPr>
                <w:rFonts w:ascii="Times New Roman" w:eastAsia="Times New Roman" w:hAnsi="Times New Roman" w:cs="Times New Roman"/>
                <w:color w:val="000000"/>
                <w:sz w:val="20"/>
                <w:szCs w:val="20"/>
              </w:rPr>
              <w:t>&gt;z</w:t>
            </w:r>
          </w:p>
        </w:tc>
      </w:tr>
      <w:tr w:rsidR="00D3058A" w:rsidRPr="0056450E">
        <w:tc>
          <w:tcPr>
            <w:tcW w:w="1503" w:type="dxa"/>
            <w:tcBorders>
              <w:left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Cgd</w:t>
            </w:r>
            <w:proofErr w:type="spellEnd"/>
          </w:p>
        </w:tc>
        <w:tc>
          <w:tcPr>
            <w:tcW w:w="922" w:type="dxa"/>
            <w:tcBorders>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144</w:t>
            </w:r>
          </w:p>
        </w:tc>
        <w:tc>
          <w:tcPr>
            <w:tcW w:w="1129" w:type="dxa"/>
            <w:tcBorders>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0.96204</w:t>
            </w:r>
          </w:p>
        </w:tc>
        <w:tc>
          <w:tcPr>
            <w:tcW w:w="976" w:type="dxa"/>
            <w:tcBorders>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4.265</w:t>
            </w:r>
          </w:p>
        </w:tc>
        <w:tc>
          <w:tcPr>
            <w:tcW w:w="955" w:type="dxa"/>
            <w:tcBorders>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3.281</w:t>
            </w:r>
          </w:p>
        </w:tc>
        <w:tc>
          <w:tcPr>
            <w:tcW w:w="1170" w:type="dxa"/>
            <w:tcBorders>
              <w:bottom w:val="nil"/>
              <w:right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0.00052</w:t>
            </w:r>
          </w:p>
        </w:tc>
      </w:tr>
      <w:tr w:rsidR="00D3058A" w:rsidRPr="0056450E">
        <w:tc>
          <w:tcPr>
            <w:tcW w:w="1503" w:type="dxa"/>
            <w:tcBorders>
              <w:top w:val="nil"/>
              <w:left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Roa</w:t>
            </w:r>
            <w:proofErr w:type="spellEnd"/>
          </w:p>
        </w:tc>
        <w:tc>
          <w:tcPr>
            <w:tcW w:w="922"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144</w:t>
            </w:r>
          </w:p>
        </w:tc>
        <w:tc>
          <w:tcPr>
            <w:tcW w:w="1129"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0.95646</w:t>
            </w:r>
          </w:p>
        </w:tc>
        <w:tc>
          <w:tcPr>
            <w:tcW w:w="976"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4.892</w:t>
            </w:r>
          </w:p>
        </w:tc>
        <w:tc>
          <w:tcPr>
            <w:tcW w:w="955"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3.592</w:t>
            </w:r>
          </w:p>
        </w:tc>
        <w:tc>
          <w:tcPr>
            <w:tcW w:w="1170" w:type="dxa"/>
            <w:tcBorders>
              <w:top w:val="nil"/>
              <w:bottom w:val="nil"/>
              <w:right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0.00016</w:t>
            </w:r>
          </w:p>
        </w:tc>
      </w:tr>
      <w:tr w:rsidR="00D3058A" w:rsidRPr="0056450E">
        <w:tc>
          <w:tcPr>
            <w:tcW w:w="1503" w:type="dxa"/>
            <w:tcBorders>
              <w:top w:val="nil"/>
              <w:left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Fsize</w:t>
            </w:r>
            <w:proofErr w:type="spellEnd"/>
          </w:p>
        </w:tc>
        <w:tc>
          <w:tcPr>
            <w:tcW w:w="922"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144</w:t>
            </w:r>
          </w:p>
        </w:tc>
        <w:tc>
          <w:tcPr>
            <w:tcW w:w="1129"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0.96152</w:t>
            </w:r>
          </w:p>
        </w:tc>
        <w:tc>
          <w:tcPr>
            <w:tcW w:w="976"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4.323</w:t>
            </w:r>
          </w:p>
        </w:tc>
        <w:tc>
          <w:tcPr>
            <w:tcW w:w="955"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3.312</w:t>
            </w:r>
          </w:p>
        </w:tc>
        <w:tc>
          <w:tcPr>
            <w:tcW w:w="1170" w:type="dxa"/>
            <w:tcBorders>
              <w:top w:val="nil"/>
              <w:bottom w:val="nil"/>
              <w:right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0.00046</w:t>
            </w:r>
          </w:p>
        </w:tc>
      </w:tr>
      <w:tr w:rsidR="00D3058A" w:rsidRPr="0056450E">
        <w:tc>
          <w:tcPr>
            <w:tcW w:w="1503" w:type="dxa"/>
            <w:tcBorders>
              <w:top w:val="nil"/>
              <w:left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Levr</w:t>
            </w:r>
            <w:proofErr w:type="spellEnd"/>
          </w:p>
        </w:tc>
        <w:tc>
          <w:tcPr>
            <w:tcW w:w="922"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144</w:t>
            </w:r>
          </w:p>
        </w:tc>
        <w:tc>
          <w:tcPr>
            <w:tcW w:w="1129"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0.98924</w:t>
            </w:r>
          </w:p>
        </w:tc>
        <w:tc>
          <w:tcPr>
            <w:tcW w:w="976"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1.209</w:t>
            </w:r>
          </w:p>
        </w:tc>
        <w:tc>
          <w:tcPr>
            <w:tcW w:w="955"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0.429</w:t>
            </w:r>
          </w:p>
        </w:tc>
        <w:tc>
          <w:tcPr>
            <w:tcW w:w="1170" w:type="dxa"/>
            <w:tcBorders>
              <w:top w:val="nil"/>
              <w:bottom w:val="nil"/>
              <w:right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0.33387</w:t>
            </w:r>
          </w:p>
        </w:tc>
      </w:tr>
      <w:tr w:rsidR="00D3058A" w:rsidRPr="0056450E">
        <w:tc>
          <w:tcPr>
            <w:tcW w:w="1503" w:type="dxa"/>
            <w:tcBorders>
              <w:top w:val="nil"/>
              <w:left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Sp</w:t>
            </w:r>
            <w:proofErr w:type="spellEnd"/>
          </w:p>
        </w:tc>
        <w:tc>
          <w:tcPr>
            <w:tcW w:w="922" w:type="dxa"/>
            <w:tcBorders>
              <w:top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144</w:t>
            </w:r>
          </w:p>
        </w:tc>
        <w:tc>
          <w:tcPr>
            <w:tcW w:w="1129" w:type="dxa"/>
            <w:tcBorders>
              <w:top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0.32113</w:t>
            </w:r>
          </w:p>
        </w:tc>
        <w:tc>
          <w:tcPr>
            <w:tcW w:w="976" w:type="dxa"/>
            <w:tcBorders>
              <w:top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76.278</w:t>
            </w:r>
          </w:p>
        </w:tc>
        <w:tc>
          <w:tcPr>
            <w:tcW w:w="955" w:type="dxa"/>
            <w:tcBorders>
              <w:top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9.805</w:t>
            </w:r>
          </w:p>
        </w:tc>
        <w:tc>
          <w:tcPr>
            <w:tcW w:w="1170" w:type="dxa"/>
            <w:tcBorders>
              <w:top w:val="nil"/>
              <w:right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0.00000</w:t>
            </w:r>
          </w:p>
        </w:tc>
      </w:tr>
    </w:tbl>
    <w:p w:rsidR="00D3058A" w:rsidRPr="0056450E" w:rsidRDefault="00D3058A">
      <w:pPr>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0"/>
        </w:rPr>
      </w:pPr>
    </w:p>
    <w:p w:rsidR="00D3058A" w:rsidRPr="0056450E" w:rsidRDefault="0056450E">
      <w:pPr>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 xml:space="preserve">Table 4 presents the results of the test for </w:t>
      </w:r>
      <w:r w:rsidRPr="0056450E">
        <w:rPr>
          <w:rFonts w:ascii="Times New Roman" w:eastAsia="Times New Roman" w:hAnsi="Times New Roman" w:cs="Times New Roman"/>
          <w:sz w:val="20"/>
          <w:szCs w:val="20"/>
        </w:rPr>
        <w:t>multicollinearity</w:t>
      </w:r>
      <w:r w:rsidRPr="0056450E">
        <w:rPr>
          <w:rFonts w:ascii="Times New Roman" w:eastAsia="Times New Roman" w:hAnsi="Times New Roman" w:cs="Times New Roman"/>
          <w:color w:val="000000"/>
          <w:sz w:val="20"/>
          <w:szCs w:val="20"/>
        </w:rPr>
        <w:t xml:space="preserve"> using the Variation Inflation Factor (VIF) test. It is seen in the table that stock price has the highest VIF of 1.54, while firm size has the lowest VIF of 1.14. The mean VIF </w:t>
      </w:r>
      <w:r w:rsidRPr="0056450E">
        <w:rPr>
          <w:rFonts w:ascii="Times New Roman" w:eastAsia="Times New Roman" w:hAnsi="Times New Roman" w:cs="Times New Roman"/>
          <w:sz w:val="20"/>
          <w:szCs w:val="20"/>
        </w:rPr>
        <w:t>value</w:t>
      </w:r>
      <w:r w:rsidRPr="0056450E">
        <w:rPr>
          <w:rFonts w:ascii="Times New Roman" w:eastAsia="Times New Roman" w:hAnsi="Times New Roman" w:cs="Times New Roman"/>
          <w:color w:val="000000"/>
          <w:sz w:val="20"/>
          <w:szCs w:val="20"/>
        </w:rPr>
        <w:t xml:space="preserve"> is 1.29. Since all of the expository variables did not possess a VIF value close to the threshold of 10, it is concluded that these </w:t>
      </w:r>
      <w:r w:rsidRPr="0056450E">
        <w:rPr>
          <w:rFonts w:ascii="Times New Roman" w:eastAsia="Times New Roman" w:hAnsi="Times New Roman" w:cs="Times New Roman"/>
          <w:color w:val="000000"/>
          <w:sz w:val="20"/>
          <w:szCs w:val="20"/>
        </w:rPr>
        <w:lastRenderedPageBreak/>
        <w:t xml:space="preserve">variables do not have any concern of </w:t>
      </w:r>
      <w:r w:rsidRPr="0056450E">
        <w:rPr>
          <w:rFonts w:ascii="Times New Roman" w:eastAsia="Times New Roman" w:hAnsi="Times New Roman" w:cs="Times New Roman"/>
          <w:sz w:val="20"/>
          <w:szCs w:val="20"/>
        </w:rPr>
        <w:t>multicollinearity</w:t>
      </w:r>
      <w:r w:rsidRPr="0056450E">
        <w:rPr>
          <w:rFonts w:ascii="Times New Roman" w:eastAsia="Times New Roman" w:hAnsi="Times New Roman" w:cs="Times New Roman"/>
          <w:color w:val="000000"/>
          <w:sz w:val="20"/>
          <w:szCs w:val="20"/>
        </w:rPr>
        <w:t xml:space="preserve">, meaning that we have not put in too many variables that measure corporate governance disclosure.  </w:t>
      </w:r>
    </w:p>
    <w:p w:rsidR="00D3058A" w:rsidRPr="0056450E" w:rsidRDefault="00D305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D3058A" w:rsidRPr="0056450E" w:rsidRDefault="0056450E">
      <w:pPr>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Table 4: Variance Inflation Factor</w:t>
      </w:r>
    </w:p>
    <w:tbl>
      <w:tblPr>
        <w:tblStyle w:val="a2"/>
        <w:tblW w:w="3644"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345"/>
        <w:gridCol w:w="949"/>
        <w:gridCol w:w="1350"/>
      </w:tblGrid>
      <w:tr w:rsidR="00D3058A" w:rsidRPr="0056450E">
        <w:tc>
          <w:tcPr>
            <w:tcW w:w="1345" w:type="dxa"/>
            <w:tcBorders>
              <w:bottom w:val="single" w:sz="4" w:space="0" w:color="000000"/>
            </w:tcBorders>
            <w:shd w:val="clear" w:color="auto" w:fill="BFBFBF"/>
          </w:tcPr>
          <w:p w:rsidR="00D3058A" w:rsidRPr="0056450E" w:rsidRDefault="00D3058A">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
        </w:tc>
        <w:tc>
          <w:tcPr>
            <w:tcW w:w="949" w:type="dxa"/>
            <w:tcBorders>
              <w:top w:val="nil"/>
              <w:bottom w:val="single" w:sz="4" w:space="0" w:color="000000"/>
              <w:right w:val="nil"/>
            </w:tcBorders>
            <w:shd w:val="clear" w:color="auto" w:fill="BFBFBF"/>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VIF</w:t>
            </w:r>
          </w:p>
        </w:tc>
        <w:tc>
          <w:tcPr>
            <w:tcW w:w="1350" w:type="dxa"/>
            <w:tcBorders>
              <w:left w:val="nil"/>
              <w:bottom w:val="single" w:sz="4" w:space="0" w:color="000000"/>
            </w:tcBorders>
            <w:shd w:val="clear" w:color="auto" w:fill="BFBFBF"/>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1/VIF</w:t>
            </w:r>
          </w:p>
        </w:tc>
      </w:tr>
      <w:tr w:rsidR="00D3058A" w:rsidRPr="0056450E">
        <w:tc>
          <w:tcPr>
            <w:tcW w:w="1345" w:type="dxa"/>
            <w:tcBorders>
              <w:top w:val="single" w:sz="4" w:space="0" w:color="000000"/>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sp</w:t>
            </w:r>
            <w:proofErr w:type="spellEnd"/>
          </w:p>
        </w:tc>
        <w:tc>
          <w:tcPr>
            <w:tcW w:w="949" w:type="dxa"/>
            <w:tcBorders>
              <w:top w:val="single" w:sz="4" w:space="0" w:color="000000"/>
              <w:bottom w:val="nil"/>
              <w:right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1.54</w:t>
            </w:r>
          </w:p>
        </w:tc>
        <w:tc>
          <w:tcPr>
            <w:tcW w:w="1350" w:type="dxa"/>
            <w:tcBorders>
              <w:top w:val="single" w:sz="4" w:space="0" w:color="000000"/>
              <w:left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0.651399</w:t>
            </w:r>
          </w:p>
        </w:tc>
      </w:tr>
      <w:tr w:rsidR="00D3058A" w:rsidRPr="0056450E">
        <w:tc>
          <w:tcPr>
            <w:tcW w:w="1345"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roa</w:t>
            </w:r>
            <w:proofErr w:type="spellEnd"/>
          </w:p>
        </w:tc>
        <w:tc>
          <w:tcPr>
            <w:tcW w:w="949" w:type="dxa"/>
            <w:tcBorders>
              <w:top w:val="nil"/>
              <w:bottom w:val="nil"/>
              <w:right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1.37</w:t>
            </w:r>
          </w:p>
        </w:tc>
        <w:tc>
          <w:tcPr>
            <w:tcW w:w="1350" w:type="dxa"/>
            <w:tcBorders>
              <w:top w:val="nil"/>
              <w:left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0.729654</w:t>
            </w:r>
          </w:p>
        </w:tc>
      </w:tr>
      <w:tr w:rsidR="00D3058A" w:rsidRPr="0056450E">
        <w:tc>
          <w:tcPr>
            <w:tcW w:w="1345"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dp</w:t>
            </w:r>
            <w:proofErr w:type="spellEnd"/>
          </w:p>
        </w:tc>
        <w:tc>
          <w:tcPr>
            <w:tcW w:w="949" w:type="dxa"/>
            <w:tcBorders>
              <w:top w:val="nil"/>
              <w:bottom w:val="nil"/>
              <w:right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1.22</w:t>
            </w:r>
          </w:p>
        </w:tc>
        <w:tc>
          <w:tcPr>
            <w:tcW w:w="1350" w:type="dxa"/>
            <w:tcBorders>
              <w:top w:val="nil"/>
              <w:left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0.819834</w:t>
            </w:r>
          </w:p>
        </w:tc>
      </w:tr>
      <w:tr w:rsidR="00D3058A" w:rsidRPr="0056450E">
        <w:tc>
          <w:tcPr>
            <w:tcW w:w="1345" w:type="dxa"/>
            <w:tcBorders>
              <w:top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levr</w:t>
            </w:r>
            <w:proofErr w:type="spellEnd"/>
          </w:p>
        </w:tc>
        <w:tc>
          <w:tcPr>
            <w:tcW w:w="949" w:type="dxa"/>
            <w:tcBorders>
              <w:top w:val="nil"/>
              <w:bottom w:val="nil"/>
              <w:right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1.17</w:t>
            </w:r>
          </w:p>
        </w:tc>
        <w:tc>
          <w:tcPr>
            <w:tcW w:w="1350" w:type="dxa"/>
            <w:tcBorders>
              <w:top w:val="nil"/>
              <w:left w:val="nil"/>
              <w:bottom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0.855883</w:t>
            </w:r>
          </w:p>
        </w:tc>
      </w:tr>
      <w:tr w:rsidR="00D3058A" w:rsidRPr="0056450E">
        <w:tc>
          <w:tcPr>
            <w:tcW w:w="1345" w:type="dxa"/>
            <w:tcBorders>
              <w:top w:val="nil"/>
              <w:bottom w:val="single" w:sz="4" w:space="0" w:color="000000"/>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Fsize</w:t>
            </w:r>
            <w:proofErr w:type="spellEnd"/>
          </w:p>
        </w:tc>
        <w:tc>
          <w:tcPr>
            <w:tcW w:w="949" w:type="dxa"/>
            <w:tcBorders>
              <w:top w:val="nil"/>
              <w:bottom w:val="single" w:sz="4" w:space="0" w:color="000000"/>
              <w:right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1.14</w:t>
            </w:r>
          </w:p>
        </w:tc>
        <w:tc>
          <w:tcPr>
            <w:tcW w:w="1350" w:type="dxa"/>
            <w:tcBorders>
              <w:top w:val="nil"/>
              <w:left w:val="nil"/>
              <w:bottom w:val="single" w:sz="4" w:space="0" w:color="000000"/>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0.874023</w:t>
            </w:r>
          </w:p>
        </w:tc>
      </w:tr>
      <w:tr w:rsidR="00D3058A" w:rsidRPr="0056450E">
        <w:tc>
          <w:tcPr>
            <w:tcW w:w="1345" w:type="dxa"/>
            <w:tcBorders>
              <w:top w:val="single" w:sz="4" w:space="0" w:color="000000"/>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Mean VIF</w:t>
            </w:r>
          </w:p>
        </w:tc>
        <w:tc>
          <w:tcPr>
            <w:tcW w:w="949" w:type="dxa"/>
            <w:tcBorders>
              <w:top w:val="single" w:sz="4" w:space="0" w:color="000000"/>
              <w:bottom w:val="nil"/>
              <w:right w:val="nil"/>
            </w:tcBorders>
          </w:tcPr>
          <w:p w:rsidR="00D3058A" w:rsidRPr="0056450E" w:rsidRDefault="0056450E">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1.29</w:t>
            </w:r>
          </w:p>
        </w:tc>
        <w:tc>
          <w:tcPr>
            <w:tcW w:w="1350" w:type="dxa"/>
            <w:tcBorders>
              <w:top w:val="single" w:sz="4" w:space="0" w:color="000000"/>
              <w:left w:val="nil"/>
            </w:tcBorders>
          </w:tcPr>
          <w:p w:rsidR="00D3058A" w:rsidRPr="0056450E" w:rsidRDefault="00D3058A">
            <w:pPr>
              <w:pBdr>
                <w:top w:val="nil"/>
                <w:left w:val="nil"/>
                <w:bottom w:val="nil"/>
                <w:right w:val="nil"/>
                <w:between w:val="nil"/>
              </w:pBdr>
              <w:spacing w:after="160" w:line="276" w:lineRule="auto"/>
              <w:jc w:val="both"/>
              <w:rPr>
                <w:rFonts w:ascii="Times New Roman" w:eastAsia="Times New Roman" w:hAnsi="Times New Roman" w:cs="Times New Roman"/>
                <w:color w:val="000000"/>
                <w:sz w:val="20"/>
                <w:szCs w:val="20"/>
              </w:rPr>
            </w:pPr>
          </w:p>
        </w:tc>
      </w:tr>
    </w:tbl>
    <w:p w:rsidR="00235969" w:rsidRDefault="00235969" w:rsidP="00235969">
      <w:pPr>
        <w:ind w:right="567"/>
        <w:jc w:val="center"/>
        <w:rPr>
          <w:i/>
          <w:iCs/>
          <w:sz w:val="16"/>
          <w:szCs w:val="16"/>
        </w:rPr>
      </w:pPr>
    </w:p>
    <w:p w:rsidR="00D3058A" w:rsidRPr="0056450E" w:rsidRDefault="0056450E"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 xml:space="preserve">Table 5 shows the results of the test for autocorrelation and </w:t>
      </w:r>
      <w:proofErr w:type="spellStart"/>
      <w:r w:rsidRPr="0056450E">
        <w:rPr>
          <w:rFonts w:ascii="Times New Roman" w:eastAsia="Times New Roman" w:hAnsi="Times New Roman" w:cs="Times New Roman"/>
          <w:color w:val="000000"/>
          <w:sz w:val="20"/>
          <w:szCs w:val="20"/>
        </w:rPr>
        <w:t>heteroskedasticity</w:t>
      </w:r>
      <w:proofErr w:type="spellEnd"/>
      <w:r w:rsidRPr="0056450E">
        <w:rPr>
          <w:rFonts w:ascii="Times New Roman" w:eastAsia="Times New Roman" w:hAnsi="Times New Roman" w:cs="Times New Roman"/>
          <w:color w:val="000000"/>
          <w:sz w:val="20"/>
          <w:szCs w:val="20"/>
        </w:rPr>
        <w:t xml:space="preserve">. Using the Wooldridge test, the table shows that with an F value of 33.34 and a p-value of 0.0000, the null hypothesis of no autocorrelation is accepted. Also, the </w:t>
      </w:r>
      <w:proofErr w:type="spellStart"/>
      <w:r w:rsidRPr="0056450E">
        <w:rPr>
          <w:rFonts w:ascii="Times New Roman" w:eastAsia="Times New Roman" w:hAnsi="Times New Roman" w:cs="Times New Roman"/>
          <w:color w:val="000000"/>
          <w:sz w:val="20"/>
          <w:szCs w:val="20"/>
        </w:rPr>
        <w:t>Breusch</w:t>
      </w:r>
      <w:proofErr w:type="spellEnd"/>
      <w:r w:rsidRPr="0056450E">
        <w:rPr>
          <w:rFonts w:ascii="Times New Roman" w:eastAsia="Times New Roman" w:hAnsi="Times New Roman" w:cs="Times New Roman"/>
          <w:color w:val="000000"/>
          <w:sz w:val="20"/>
          <w:szCs w:val="20"/>
        </w:rPr>
        <w:t xml:space="preserve">-Pagan/Cook-Weisberg test shows that with a p-value of 0.0475, we reject the null hypothesis that there is constant variance among the residuals and conclude heteroscedasticity is present in the data. </w:t>
      </w:r>
    </w:p>
    <w:p w:rsidR="00D3058A" w:rsidRPr="0056450E" w:rsidRDefault="00D3058A"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D3058A" w:rsidRPr="0056450E" w:rsidRDefault="0056450E">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Table 5: Model regression diagnostic tests</w:t>
      </w:r>
    </w:p>
    <w:tbl>
      <w:tblPr>
        <w:tblStyle w:val="a3"/>
        <w:tblW w:w="7871"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003"/>
        <w:gridCol w:w="1775"/>
        <w:gridCol w:w="1077"/>
        <w:gridCol w:w="1080"/>
        <w:gridCol w:w="1936"/>
      </w:tblGrid>
      <w:tr w:rsidR="00D3058A" w:rsidRPr="0056450E">
        <w:tc>
          <w:tcPr>
            <w:tcW w:w="2003" w:type="dxa"/>
            <w:tcBorders>
              <w:bottom w:val="single" w:sz="4" w:space="0" w:color="000000"/>
            </w:tcBorders>
            <w:shd w:val="clear" w:color="auto" w:fill="BFBFBF"/>
          </w:tcPr>
          <w:p w:rsidR="00D3058A" w:rsidRPr="0056450E"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Test</w:t>
            </w:r>
          </w:p>
        </w:tc>
        <w:tc>
          <w:tcPr>
            <w:tcW w:w="1775" w:type="dxa"/>
            <w:tcBorders>
              <w:bottom w:val="single" w:sz="4" w:space="0" w:color="000000"/>
            </w:tcBorders>
            <w:shd w:val="clear" w:color="auto" w:fill="BFBFBF"/>
          </w:tcPr>
          <w:p w:rsidR="00D3058A" w:rsidRPr="0056450E"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Test type</w:t>
            </w:r>
          </w:p>
        </w:tc>
        <w:tc>
          <w:tcPr>
            <w:tcW w:w="1077" w:type="dxa"/>
            <w:tcBorders>
              <w:bottom w:val="single" w:sz="4" w:space="0" w:color="000000"/>
            </w:tcBorders>
            <w:shd w:val="clear" w:color="auto" w:fill="BFBFBF"/>
          </w:tcPr>
          <w:p w:rsidR="00D3058A" w:rsidRPr="0056450E"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F value</w:t>
            </w:r>
          </w:p>
        </w:tc>
        <w:tc>
          <w:tcPr>
            <w:tcW w:w="1080" w:type="dxa"/>
            <w:tcBorders>
              <w:bottom w:val="single" w:sz="4" w:space="0" w:color="000000"/>
            </w:tcBorders>
            <w:shd w:val="clear" w:color="auto" w:fill="BFBFBF"/>
          </w:tcPr>
          <w:p w:rsidR="00D3058A" w:rsidRPr="0056450E"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p-value</w:t>
            </w:r>
          </w:p>
        </w:tc>
        <w:tc>
          <w:tcPr>
            <w:tcW w:w="1936" w:type="dxa"/>
            <w:tcBorders>
              <w:bottom w:val="single" w:sz="4" w:space="0" w:color="000000"/>
            </w:tcBorders>
            <w:shd w:val="clear" w:color="auto" w:fill="BFBFBF"/>
          </w:tcPr>
          <w:p w:rsidR="00D3058A" w:rsidRPr="0056450E"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Conclusion</w:t>
            </w:r>
          </w:p>
        </w:tc>
      </w:tr>
      <w:tr w:rsidR="00D3058A" w:rsidRPr="0056450E">
        <w:tc>
          <w:tcPr>
            <w:tcW w:w="2003" w:type="dxa"/>
            <w:tcBorders>
              <w:bottom w:val="nil"/>
            </w:tcBorders>
          </w:tcPr>
          <w:p w:rsidR="00D3058A" w:rsidRPr="0056450E"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Autocorrelation</w:t>
            </w:r>
          </w:p>
        </w:tc>
        <w:tc>
          <w:tcPr>
            <w:tcW w:w="1775" w:type="dxa"/>
            <w:tcBorders>
              <w:bottom w:val="nil"/>
            </w:tcBorders>
          </w:tcPr>
          <w:p w:rsidR="00D3058A" w:rsidRPr="0056450E"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Wooldridge test</w:t>
            </w:r>
          </w:p>
        </w:tc>
        <w:tc>
          <w:tcPr>
            <w:tcW w:w="1077" w:type="dxa"/>
            <w:tcBorders>
              <w:bottom w:val="nil"/>
            </w:tcBorders>
          </w:tcPr>
          <w:p w:rsidR="00D3058A" w:rsidRPr="0056450E"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33.34</w:t>
            </w:r>
          </w:p>
        </w:tc>
        <w:tc>
          <w:tcPr>
            <w:tcW w:w="1080" w:type="dxa"/>
            <w:tcBorders>
              <w:bottom w:val="nil"/>
            </w:tcBorders>
          </w:tcPr>
          <w:p w:rsidR="00D3058A" w:rsidRPr="0056450E"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0.0000</w:t>
            </w:r>
          </w:p>
        </w:tc>
        <w:tc>
          <w:tcPr>
            <w:tcW w:w="1936" w:type="dxa"/>
            <w:tcBorders>
              <w:bottom w:val="nil"/>
            </w:tcBorders>
          </w:tcPr>
          <w:p w:rsidR="00D3058A" w:rsidRPr="0056450E" w:rsidRDefault="0056450E">
            <w:pPr>
              <w:pBdr>
                <w:top w:val="nil"/>
                <w:left w:val="nil"/>
                <w:bottom w:val="nil"/>
                <w:right w:val="nil"/>
                <w:between w:val="nil"/>
              </w:pBdr>
              <w:spacing w:before="240" w:line="259" w:lineRule="auto"/>
              <w:jc w:val="center"/>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No serial correlation</w:t>
            </w:r>
          </w:p>
          <w:p w:rsidR="00D3058A" w:rsidRPr="0056450E" w:rsidRDefault="00D3058A">
            <w:pPr>
              <w:pBdr>
                <w:top w:val="nil"/>
                <w:left w:val="nil"/>
                <w:bottom w:val="nil"/>
                <w:right w:val="nil"/>
                <w:between w:val="nil"/>
              </w:pBdr>
              <w:spacing w:after="160" w:line="259" w:lineRule="auto"/>
              <w:jc w:val="center"/>
              <w:rPr>
                <w:rFonts w:ascii="Times New Roman" w:eastAsia="Times New Roman" w:hAnsi="Times New Roman" w:cs="Times New Roman"/>
                <w:color w:val="000000"/>
                <w:sz w:val="20"/>
                <w:szCs w:val="20"/>
              </w:rPr>
            </w:pPr>
          </w:p>
        </w:tc>
      </w:tr>
      <w:tr w:rsidR="00D3058A" w:rsidRPr="0056450E">
        <w:tc>
          <w:tcPr>
            <w:tcW w:w="2003" w:type="dxa"/>
            <w:tcBorders>
              <w:top w:val="nil"/>
            </w:tcBorders>
          </w:tcPr>
          <w:p w:rsidR="00D3058A" w:rsidRPr="0056450E"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Heteroskedasticity</w:t>
            </w:r>
            <w:proofErr w:type="spellEnd"/>
          </w:p>
        </w:tc>
        <w:tc>
          <w:tcPr>
            <w:tcW w:w="1775" w:type="dxa"/>
            <w:tcBorders>
              <w:top w:val="nil"/>
            </w:tcBorders>
          </w:tcPr>
          <w:p w:rsidR="00D3058A" w:rsidRPr="0056450E" w:rsidRDefault="0056450E">
            <w:pPr>
              <w:pBdr>
                <w:top w:val="nil"/>
                <w:left w:val="nil"/>
                <w:bottom w:val="nil"/>
                <w:right w:val="nil"/>
                <w:between w:val="nil"/>
              </w:pBdr>
              <w:spacing w:after="160" w:line="360" w:lineRule="auto"/>
              <w:rPr>
                <w:rFonts w:ascii="Times New Roman" w:eastAsia="Times New Roman" w:hAnsi="Times New Roman" w:cs="Times New Roman"/>
                <w:color w:val="000000"/>
                <w:sz w:val="20"/>
                <w:szCs w:val="20"/>
              </w:rPr>
            </w:pPr>
            <w:proofErr w:type="spellStart"/>
            <w:r w:rsidRPr="0056450E">
              <w:rPr>
                <w:rFonts w:ascii="Times New Roman" w:eastAsia="Times New Roman" w:hAnsi="Times New Roman" w:cs="Times New Roman"/>
                <w:color w:val="000000"/>
                <w:sz w:val="20"/>
                <w:szCs w:val="20"/>
              </w:rPr>
              <w:t>Breusch</w:t>
            </w:r>
            <w:proofErr w:type="spellEnd"/>
            <w:r w:rsidRPr="0056450E">
              <w:rPr>
                <w:rFonts w:ascii="Times New Roman" w:eastAsia="Times New Roman" w:hAnsi="Times New Roman" w:cs="Times New Roman"/>
                <w:color w:val="000000"/>
                <w:sz w:val="20"/>
                <w:szCs w:val="20"/>
              </w:rPr>
              <w:t>-Pagan/ Cook-Weisberg</w:t>
            </w:r>
          </w:p>
        </w:tc>
        <w:tc>
          <w:tcPr>
            <w:tcW w:w="1077" w:type="dxa"/>
            <w:tcBorders>
              <w:top w:val="nil"/>
            </w:tcBorders>
          </w:tcPr>
          <w:p w:rsidR="00D3058A" w:rsidRPr="0056450E"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3.93</w:t>
            </w:r>
          </w:p>
        </w:tc>
        <w:tc>
          <w:tcPr>
            <w:tcW w:w="1080" w:type="dxa"/>
            <w:tcBorders>
              <w:top w:val="nil"/>
            </w:tcBorders>
          </w:tcPr>
          <w:p w:rsidR="00D3058A" w:rsidRPr="0056450E"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0.0475</w:t>
            </w:r>
          </w:p>
        </w:tc>
        <w:tc>
          <w:tcPr>
            <w:tcW w:w="1936" w:type="dxa"/>
            <w:tcBorders>
              <w:top w:val="nil"/>
            </w:tcBorders>
          </w:tcPr>
          <w:p w:rsidR="00D3058A" w:rsidRPr="0056450E" w:rsidRDefault="0056450E">
            <w:pPr>
              <w:pBdr>
                <w:top w:val="nil"/>
                <w:left w:val="nil"/>
                <w:bottom w:val="nil"/>
                <w:right w:val="nil"/>
                <w:between w:val="nil"/>
              </w:pBdr>
              <w:spacing w:before="240" w:after="160" w:line="259" w:lineRule="auto"/>
              <w:jc w:val="center"/>
              <w:rPr>
                <w:rFonts w:ascii="Times New Roman" w:eastAsia="Times New Roman" w:hAnsi="Times New Roman" w:cs="Times New Roman"/>
                <w:color w:val="000000"/>
                <w:sz w:val="20"/>
                <w:szCs w:val="20"/>
              </w:rPr>
            </w:pPr>
            <w:r w:rsidRPr="0056450E">
              <w:rPr>
                <w:rFonts w:ascii="Times New Roman" w:eastAsia="Times New Roman" w:hAnsi="Times New Roman" w:cs="Times New Roman"/>
                <w:color w:val="000000"/>
                <w:sz w:val="20"/>
                <w:szCs w:val="20"/>
              </w:rPr>
              <w:t>Presence of heteroscedasticity</w:t>
            </w:r>
          </w:p>
        </w:tc>
      </w:tr>
    </w:tbl>
    <w:p w:rsidR="005D2CDF" w:rsidRDefault="005D2CDF" w:rsidP="0056450E">
      <w:pPr>
        <w:numPr>
          <w:ilvl w:val="1"/>
          <w:numId w:val="2"/>
        </w:numPr>
        <w:pBdr>
          <w:top w:val="nil"/>
          <w:left w:val="nil"/>
          <w:bottom w:val="nil"/>
          <w:right w:val="nil"/>
          <w:between w:val="nil"/>
        </w:pBdr>
        <w:spacing w:after="0" w:line="276" w:lineRule="auto"/>
        <w:ind w:left="720"/>
        <w:jc w:val="both"/>
        <w:rPr>
          <w:rFonts w:ascii="Times New Roman" w:eastAsia="Times New Roman" w:hAnsi="Times New Roman" w:cs="Times New Roman"/>
          <w:b/>
          <w:color w:val="000000"/>
          <w:sz w:val="20"/>
          <w:szCs w:val="24"/>
        </w:rPr>
      </w:pPr>
    </w:p>
    <w:p w:rsidR="00D3058A" w:rsidRPr="00235969" w:rsidRDefault="0056450E" w:rsidP="0056450E">
      <w:pPr>
        <w:numPr>
          <w:ilvl w:val="1"/>
          <w:numId w:val="2"/>
        </w:numPr>
        <w:pBdr>
          <w:top w:val="nil"/>
          <w:left w:val="nil"/>
          <w:bottom w:val="nil"/>
          <w:right w:val="nil"/>
          <w:between w:val="nil"/>
        </w:pBdr>
        <w:spacing w:after="0" w:line="276" w:lineRule="auto"/>
        <w:ind w:left="720"/>
        <w:jc w:val="both"/>
        <w:rPr>
          <w:rFonts w:ascii="Times New Roman" w:eastAsia="Times New Roman" w:hAnsi="Times New Roman" w:cs="Times New Roman"/>
          <w:b/>
          <w:color w:val="000000"/>
          <w:sz w:val="20"/>
          <w:szCs w:val="24"/>
        </w:rPr>
      </w:pPr>
      <w:r w:rsidRPr="00235969">
        <w:rPr>
          <w:rFonts w:ascii="Times New Roman" w:eastAsia="Times New Roman" w:hAnsi="Times New Roman" w:cs="Times New Roman"/>
          <w:b/>
          <w:color w:val="000000"/>
          <w:sz w:val="20"/>
          <w:szCs w:val="24"/>
        </w:rPr>
        <w:t xml:space="preserve">Panel Regression </w:t>
      </w:r>
    </w:p>
    <w:p w:rsidR="00D3058A" w:rsidRPr="00235969" w:rsidRDefault="0056450E"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Since the diagnostic tests</w:t>
      </w:r>
      <w:r w:rsidRPr="00235969">
        <w:rPr>
          <w:rFonts w:ascii="Times New Roman" w:eastAsia="Times New Roman" w:hAnsi="Times New Roman" w:cs="Times New Roman"/>
          <w:sz w:val="20"/>
          <w:szCs w:val="20"/>
        </w:rPr>
        <w:t xml:space="preserve"> </w:t>
      </w:r>
      <w:r w:rsidRPr="00235969">
        <w:rPr>
          <w:rFonts w:ascii="Times New Roman" w:eastAsia="Times New Roman" w:hAnsi="Times New Roman" w:cs="Times New Roman"/>
          <w:color w:val="000000"/>
          <w:sz w:val="20"/>
          <w:szCs w:val="20"/>
        </w:rPr>
        <w:t xml:space="preserve">carried out on the data showed that there is the presence of heteroscedasticity and non-normality of variables, the feasible generalized least square regression (FGLS) method of analysis is preferred for analyzing the data. This is because the FGLS method possesses in-built mechanisms for accommodating non-normality and controlling for the existence of </w:t>
      </w:r>
      <w:proofErr w:type="spellStart"/>
      <w:r w:rsidRPr="00235969">
        <w:rPr>
          <w:rFonts w:ascii="Times New Roman" w:eastAsia="Times New Roman" w:hAnsi="Times New Roman" w:cs="Times New Roman"/>
          <w:color w:val="000000"/>
          <w:sz w:val="20"/>
          <w:szCs w:val="20"/>
        </w:rPr>
        <w:t>heteroskedasticity</w:t>
      </w:r>
      <w:proofErr w:type="spellEnd"/>
      <w:r w:rsidRPr="00235969">
        <w:rPr>
          <w:rFonts w:ascii="Times New Roman" w:eastAsia="Times New Roman" w:hAnsi="Times New Roman" w:cs="Times New Roman"/>
          <w:color w:val="000000"/>
          <w:sz w:val="20"/>
          <w:szCs w:val="20"/>
        </w:rPr>
        <w:t xml:space="preserve"> (</w:t>
      </w:r>
      <w:proofErr w:type="spellStart"/>
      <w:r w:rsidRPr="00235969">
        <w:rPr>
          <w:rFonts w:ascii="Times New Roman" w:eastAsia="Times New Roman" w:hAnsi="Times New Roman" w:cs="Times New Roman"/>
          <w:color w:val="000000"/>
          <w:sz w:val="20"/>
          <w:szCs w:val="20"/>
        </w:rPr>
        <w:t>Baltagi</w:t>
      </w:r>
      <w:proofErr w:type="spellEnd"/>
      <w:r w:rsidRPr="00235969">
        <w:rPr>
          <w:rFonts w:ascii="Times New Roman" w:eastAsia="Times New Roman" w:hAnsi="Times New Roman" w:cs="Times New Roman"/>
          <w:color w:val="000000"/>
          <w:sz w:val="20"/>
          <w:szCs w:val="20"/>
        </w:rPr>
        <w:t>, 2010). Table 6 presents the results of the FGLS test for the first model of the study, which seeks to ascertain how profitability impacts on corporate governance disclosure scores.</w:t>
      </w:r>
    </w:p>
    <w:p w:rsidR="00D3058A" w:rsidRPr="00235969" w:rsidRDefault="00D3058A" w:rsidP="00235969">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p>
    <w:p w:rsidR="00D3058A" w:rsidRPr="00235969" w:rsidRDefault="0056450E" w:rsidP="00235969">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 xml:space="preserve">Table 6: Estimated Panel Feasible </w:t>
      </w:r>
      <w:proofErr w:type="spellStart"/>
      <w:r w:rsidRPr="00235969">
        <w:rPr>
          <w:rFonts w:ascii="Times New Roman" w:eastAsia="Times New Roman" w:hAnsi="Times New Roman" w:cs="Times New Roman"/>
          <w:color w:val="000000"/>
          <w:sz w:val="20"/>
          <w:szCs w:val="20"/>
        </w:rPr>
        <w:t>Generalised</w:t>
      </w:r>
      <w:proofErr w:type="spellEnd"/>
      <w:r w:rsidRPr="00235969">
        <w:rPr>
          <w:rFonts w:ascii="Times New Roman" w:eastAsia="Times New Roman" w:hAnsi="Times New Roman" w:cs="Times New Roman"/>
          <w:color w:val="000000"/>
          <w:sz w:val="20"/>
          <w:szCs w:val="20"/>
        </w:rPr>
        <w:t xml:space="preserve"> Least Square (FGLS) Regression </w:t>
      </w:r>
    </w:p>
    <w:p w:rsidR="00D3058A" w:rsidRPr="00235969" w:rsidRDefault="0056450E">
      <w:pPr>
        <w:spacing w:after="0" w:line="360" w:lineRule="auto"/>
        <w:ind w:firstLine="720"/>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(Dependent = ROA)</w:t>
      </w:r>
    </w:p>
    <w:tbl>
      <w:tblPr>
        <w:tblStyle w:val="a4"/>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350"/>
        <w:gridCol w:w="1440"/>
        <w:gridCol w:w="943"/>
        <w:gridCol w:w="896"/>
        <w:gridCol w:w="1359"/>
        <w:gridCol w:w="1302"/>
      </w:tblGrid>
      <w:tr w:rsidR="00D3058A" w:rsidRPr="00235969">
        <w:tc>
          <w:tcPr>
            <w:tcW w:w="1705" w:type="dxa"/>
            <w:shd w:val="clear" w:color="auto" w:fill="BFBFBF"/>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ROA</w:t>
            </w:r>
          </w:p>
        </w:tc>
        <w:tc>
          <w:tcPr>
            <w:tcW w:w="1350" w:type="dxa"/>
            <w:shd w:val="clear" w:color="auto" w:fill="BFBFBF"/>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Coef</w:t>
            </w:r>
            <w:proofErr w:type="spellEnd"/>
            <w:r w:rsidRPr="00235969">
              <w:rPr>
                <w:rFonts w:ascii="Times New Roman" w:eastAsia="Times New Roman" w:hAnsi="Times New Roman" w:cs="Times New Roman"/>
                <w:color w:val="000000"/>
                <w:sz w:val="20"/>
                <w:szCs w:val="20"/>
              </w:rPr>
              <w:t>.</w:t>
            </w:r>
          </w:p>
        </w:tc>
        <w:tc>
          <w:tcPr>
            <w:tcW w:w="1440" w:type="dxa"/>
            <w:shd w:val="clear" w:color="auto" w:fill="BFBFBF"/>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Std. Err.</w:t>
            </w:r>
          </w:p>
        </w:tc>
        <w:tc>
          <w:tcPr>
            <w:tcW w:w="943" w:type="dxa"/>
            <w:shd w:val="clear" w:color="auto" w:fill="BFBFBF"/>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z</w:t>
            </w:r>
          </w:p>
        </w:tc>
        <w:tc>
          <w:tcPr>
            <w:tcW w:w="896" w:type="dxa"/>
            <w:shd w:val="clear" w:color="auto" w:fill="BFBFBF"/>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P&gt;|z|</w:t>
            </w:r>
          </w:p>
        </w:tc>
        <w:tc>
          <w:tcPr>
            <w:tcW w:w="2661" w:type="dxa"/>
            <w:gridSpan w:val="2"/>
            <w:shd w:val="clear" w:color="auto" w:fill="BFBFBF"/>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[95% conf. interval ]</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cgd</w:t>
            </w:r>
            <w:proofErr w:type="spellEnd"/>
          </w:p>
        </w:tc>
        <w:tc>
          <w:tcPr>
            <w:tcW w:w="135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-0.0104218</w:t>
            </w:r>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0.0254383</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-0.41</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0.682</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-0.06028</w:t>
            </w:r>
          </w:p>
        </w:tc>
        <w:tc>
          <w:tcPr>
            <w:tcW w:w="1302"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0.0394363</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fsize</w:t>
            </w:r>
            <w:proofErr w:type="spellEnd"/>
          </w:p>
        </w:tc>
        <w:tc>
          <w:tcPr>
            <w:tcW w:w="135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-0.0134608</w:t>
            </w:r>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0.2875598</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-0.05</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0.963</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-0.5770677</w:t>
            </w:r>
          </w:p>
        </w:tc>
        <w:tc>
          <w:tcPr>
            <w:tcW w:w="1302"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0.5501461</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lastRenderedPageBreak/>
              <w:t>sp</w:t>
            </w:r>
            <w:proofErr w:type="spellEnd"/>
          </w:p>
        </w:tc>
        <w:tc>
          <w:tcPr>
            <w:tcW w:w="135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0.0114561</w:t>
            </w:r>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0.0019624</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5.84</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0.000</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0.0076099</w:t>
            </w:r>
          </w:p>
        </w:tc>
        <w:tc>
          <w:tcPr>
            <w:tcW w:w="1302"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0.0153024</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levr</w:t>
            </w:r>
            <w:proofErr w:type="spellEnd"/>
          </w:p>
        </w:tc>
        <w:tc>
          <w:tcPr>
            <w:tcW w:w="135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-0.0550302</w:t>
            </w:r>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0.0324918</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-1.69</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0.090</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-0.1187131</w:t>
            </w:r>
          </w:p>
        </w:tc>
        <w:tc>
          <w:tcPr>
            <w:tcW w:w="1302"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0.0086526</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dp</w:t>
            </w:r>
            <w:proofErr w:type="spellEnd"/>
          </w:p>
        </w:tc>
        <w:tc>
          <w:tcPr>
            <w:tcW w:w="135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1.862105</w:t>
            </w:r>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1.106644</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1.68</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0.092</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-0.3068778</w:t>
            </w:r>
          </w:p>
        </w:tc>
        <w:tc>
          <w:tcPr>
            <w:tcW w:w="1302"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4.031087</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Ind</w:t>
            </w:r>
            <w:proofErr w:type="spellEnd"/>
          </w:p>
        </w:tc>
        <w:tc>
          <w:tcPr>
            <w:tcW w:w="135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-0.0296881</w:t>
            </w:r>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0.3305592</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-0.09</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0.928</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-0.6775723</w:t>
            </w:r>
          </w:p>
        </w:tc>
        <w:tc>
          <w:tcPr>
            <w:tcW w:w="1302"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0.6181961</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Constant</w:t>
            </w:r>
          </w:p>
        </w:tc>
        <w:tc>
          <w:tcPr>
            <w:tcW w:w="135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6.921864</w:t>
            </w:r>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5.549011</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1.25</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0.212</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-3.953998</w:t>
            </w:r>
          </w:p>
        </w:tc>
        <w:tc>
          <w:tcPr>
            <w:tcW w:w="1302"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17.79773</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 xml:space="preserve">mean dep </w:t>
            </w:r>
            <w:proofErr w:type="spellStart"/>
            <w:r w:rsidRPr="00235969">
              <w:rPr>
                <w:rFonts w:ascii="Times New Roman" w:eastAsia="Times New Roman" w:hAnsi="Times New Roman" w:cs="Times New Roman"/>
                <w:color w:val="000000"/>
                <w:sz w:val="20"/>
                <w:szCs w:val="20"/>
              </w:rPr>
              <w:t>var</w:t>
            </w:r>
            <w:proofErr w:type="spellEnd"/>
          </w:p>
        </w:tc>
        <w:tc>
          <w:tcPr>
            <w:tcW w:w="135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4.791667</w:t>
            </w:r>
          </w:p>
        </w:tc>
        <w:tc>
          <w:tcPr>
            <w:tcW w:w="2383" w:type="dxa"/>
            <w:gridSpan w:val="2"/>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 xml:space="preserve">SD dep. </w:t>
            </w:r>
            <w:proofErr w:type="spellStart"/>
            <w:r w:rsidRPr="00235969">
              <w:rPr>
                <w:rFonts w:ascii="Times New Roman" w:eastAsia="Times New Roman" w:hAnsi="Times New Roman" w:cs="Times New Roman"/>
                <w:color w:val="000000"/>
                <w:sz w:val="20"/>
                <w:szCs w:val="20"/>
              </w:rPr>
              <w:t>Var</w:t>
            </w:r>
            <w:proofErr w:type="spellEnd"/>
          </w:p>
        </w:tc>
        <w:tc>
          <w:tcPr>
            <w:tcW w:w="3557" w:type="dxa"/>
            <w:gridSpan w:val="3"/>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7.331201</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 xml:space="preserve">Num. of </w:t>
            </w:r>
            <w:proofErr w:type="spellStart"/>
            <w:r w:rsidRPr="00235969">
              <w:rPr>
                <w:rFonts w:ascii="Times New Roman" w:eastAsia="Times New Roman" w:hAnsi="Times New Roman" w:cs="Times New Roman"/>
                <w:color w:val="000000"/>
                <w:sz w:val="20"/>
                <w:szCs w:val="20"/>
              </w:rPr>
              <w:t>obs</w:t>
            </w:r>
            <w:proofErr w:type="spellEnd"/>
          </w:p>
        </w:tc>
        <w:tc>
          <w:tcPr>
            <w:tcW w:w="135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143</w:t>
            </w:r>
          </w:p>
        </w:tc>
        <w:tc>
          <w:tcPr>
            <w:tcW w:w="2383" w:type="dxa"/>
            <w:gridSpan w:val="2"/>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Chi-square</w:t>
            </w:r>
          </w:p>
        </w:tc>
        <w:tc>
          <w:tcPr>
            <w:tcW w:w="3557" w:type="dxa"/>
            <w:gridSpan w:val="3"/>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54.27</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Prob</w:t>
            </w:r>
            <w:proofErr w:type="spellEnd"/>
            <w:r w:rsidRPr="00235969">
              <w:rPr>
                <w:rFonts w:ascii="Times New Roman" w:eastAsia="Times New Roman" w:hAnsi="Times New Roman" w:cs="Times New Roman"/>
                <w:color w:val="000000"/>
                <w:sz w:val="20"/>
                <w:szCs w:val="20"/>
              </w:rPr>
              <w:t>&gt; chi</w:t>
            </w:r>
            <w:r w:rsidRPr="00235969">
              <w:rPr>
                <w:rFonts w:ascii="Times New Roman" w:eastAsia="Times New Roman" w:hAnsi="Times New Roman" w:cs="Times New Roman"/>
                <w:color w:val="000000"/>
                <w:sz w:val="20"/>
                <w:szCs w:val="20"/>
                <w:vertAlign w:val="superscript"/>
              </w:rPr>
              <w:t>2</w:t>
            </w:r>
          </w:p>
        </w:tc>
        <w:tc>
          <w:tcPr>
            <w:tcW w:w="135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0.0000</w:t>
            </w:r>
          </w:p>
        </w:tc>
        <w:tc>
          <w:tcPr>
            <w:tcW w:w="2383" w:type="dxa"/>
            <w:gridSpan w:val="2"/>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Akaike</w:t>
            </w:r>
            <w:proofErr w:type="spellEnd"/>
            <w:r w:rsidRPr="00235969">
              <w:rPr>
                <w:rFonts w:ascii="Times New Roman" w:eastAsia="Times New Roman" w:hAnsi="Times New Roman" w:cs="Times New Roman"/>
                <w:color w:val="000000"/>
                <w:sz w:val="20"/>
                <w:szCs w:val="20"/>
              </w:rPr>
              <w:t xml:space="preserve"> </w:t>
            </w:r>
            <w:proofErr w:type="spellStart"/>
            <w:r w:rsidRPr="00235969">
              <w:rPr>
                <w:rFonts w:ascii="Times New Roman" w:eastAsia="Times New Roman" w:hAnsi="Times New Roman" w:cs="Times New Roman"/>
                <w:color w:val="000000"/>
                <w:sz w:val="20"/>
                <w:szCs w:val="20"/>
              </w:rPr>
              <w:t>Crit</w:t>
            </w:r>
            <w:proofErr w:type="spellEnd"/>
            <w:r w:rsidRPr="00235969">
              <w:rPr>
                <w:rFonts w:ascii="Times New Roman" w:eastAsia="Times New Roman" w:hAnsi="Times New Roman" w:cs="Times New Roman"/>
                <w:color w:val="000000"/>
                <w:sz w:val="20"/>
                <w:szCs w:val="20"/>
              </w:rPr>
              <w:t xml:space="preserve"> (AIC)</w:t>
            </w:r>
          </w:p>
        </w:tc>
        <w:tc>
          <w:tcPr>
            <w:tcW w:w="3557" w:type="dxa"/>
            <w:gridSpan w:val="3"/>
          </w:tcPr>
          <w:p w:rsidR="00D3058A" w:rsidRPr="00235969" w:rsidRDefault="00D3058A">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p>
        </w:tc>
      </w:tr>
    </w:tbl>
    <w:p w:rsidR="00D3058A" w:rsidRDefault="00D3058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D3058A" w:rsidRPr="00235969" w:rsidRDefault="0056450E"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 xml:space="preserve">With a p-value of 0.682 which is </w:t>
      </w:r>
      <w:r w:rsidRPr="00235969">
        <w:rPr>
          <w:rFonts w:ascii="Times New Roman" w:eastAsia="Times New Roman" w:hAnsi="Times New Roman" w:cs="Times New Roman"/>
          <w:sz w:val="20"/>
          <w:szCs w:val="20"/>
        </w:rPr>
        <w:t>non-significant at all</w:t>
      </w:r>
      <w:r w:rsidRPr="00235969">
        <w:rPr>
          <w:rFonts w:ascii="Times New Roman" w:eastAsia="Times New Roman" w:hAnsi="Times New Roman" w:cs="Times New Roman"/>
          <w:color w:val="000000"/>
          <w:sz w:val="20"/>
          <w:szCs w:val="20"/>
        </w:rPr>
        <w:t xml:space="preserve"> conventional levels, Table 6 shows that the profitability of the firm has no significant impact on its corporate governance disclosure score. In fact, the profitability of the firm only impacts on the stock price of the firm. This gives a clear indication consumer goods firms listed in the NSE with higher profitability did not necessarily have higher corporate governance disclosures during the period that this study covered, even though it did impact on their stock prices.</w:t>
      </w:r>
    </w:p>
    <w:p w:rsidR="00D3058A" w:rsidRPr="00235969" w:rsidRDefault="00D3058A"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D3058A" w:rsidRPr="00235969" w:rsidRDefault="0056450E"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With regard to the control variables in the equation, the results presented on Table 6 show that the result of non-significance of the impact of profitability on corporate governance disclosure was true for all firms regardless of their industry (</w:t>
      </w:r>
      <w:proofErr w:type="spellStart"/>
      <w:r w:rsidRPr="00235969">
        <w:rPr>
          <w:rFonts w:ascii="Times New Roman" w:eastAsia="Times New Roman" w:hAnsi="Times New Roman" w:cs="Times New Roman"/>
          <w:color w:val="000000"/>
          <w:sz w:val="20"/>
          <w:szCs w:val="20"/>
        </w:rPr>
        <w:t>coef</w:t>
      </w:r>
      <w:proofErr w:type="spellEnd"/>
      <w:r w:rsidRPr="00235969">
        <w:rPr>
          <w:rFonts w:ascii="Times New Roman" w:eastAsia="Times New Roman" w:hAnsi="Times New Roman" w:cs="Times New Roman"/>
          <w:color w:val="000000"/>
          <w:sz w:val="20"/>
          <w:szCs w:val="20"/>
        </w:rPr>
        <w:t>. = -0.0296881; p-value = 0.928), the size of the firm (</w:t>
      </w:r>
      <w:proofErr w:type="spellStart"/>
      <w:r w:rsidRPr="00235969">
        <w:rPr>
          <w:rFonts w:ascii="Times New Roman" w:eastAsia="Times New Roman" w:hAnsi="Times New Roman" w:cs="Times New Roman"/>
          <w:color w:val="000000"/>
          <w:sz w:val="20"/>
          <w:szCs w:val="20"/>
        </w:rPr>
        <w:t>coeff</w:t>
      </w:r>
      <w:proofErr w:type="spellEnd"/>
      <w:r w:rsidRPr="00235969">
        <w:rPr>
          <w:rFonts w:ascii="Times New Roman" w:eastAsia="Times New Roman" w:hAnsi="Times New Roman" w:cs="Times New Roman"/>
          <w:color w:val="000000"/>
          <w:sz w:val="20"/>
          <w:szCs w:val="20"/>
        </w:rPr>
        <w:t>. = -0.0134608; p-value = 0.963), whether or not they had a dividend policy (</w:t>
      </w:r>
      <w:proofErr w:type="spellStart"/>
      <w:r w:rsidRPr="00235969">
        <w:rPr>
          <w:rFonts w:ascii="Times New Roman" w:eastAsia="Times New Roman" w:hAnsi="Times New Roman" w:cs="Times New Roman"/>
          <w:color w:val="000000"/>
          <w:sz w:val="20"/>
          <w:szCs w:val="20"/>
        </w:rPr>
        <w:t>coeff</w:t>
      </w:r>
      <w:proofErr w:type="spellEnd"/>
      <w:r w:rsidRPr="00235969">
        <w:rPr>
          <w:rFonts w:ascii="Times New Roman" w:eastAsia="Times New Roman" w:hAnsi="Times New Roman" w:cs="Times New Roman"/>
          <w:color w:val="000000"/>
          <w:sz w:val="20"/>
          <w:szCs w:val="20"/>
        </w:rPr>
        <w:t>. = 1.862105; p-value = 0.092), or leverage (</w:t>
      </w:r>
      <w:proofErr w:type="spellStart"/>
      <w:r w:rsidRPr="00235969">
        <w:rPr>
          <w:rFonts w:ascii="Times New Roman" w:eastAsia="Times New Roman" w:hAnsi="Times New Roman" w:cs="Times New Roman"/>
          <w:color w:val="000000"/>
          <w:sz w:val="20"/>
          <w:szCs w:val="20"/>
        </w:rPr>
        <w:t>coeff</w:t>
      </w:r>
      <w:proofErr w:type="spellEnd"/>
      <w:r w:rsidRPr="00235969">
        <w:rPr>
          <w:rFonts w:ascii="Times New Roman" w:eastAsia="Times New Roman" w:hAnsi="Times New Roman" w:cs="Times New Roman"/>
          <w:color w:val="000000"/>
          <w:sz w:val="20"/>
          <w:szCs w:val="20"/>
        </w:rPr>
        <w:t>. = -0.0550302; p-value = 0.090).</w:t>
      </w:r>
    </w:p>
    <w:p w:rsidR="00D3058A" w:rsidRDefault="0056450E"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D3058A" w:rsidRPr="00235969" w:rsidRDefault="0056450E"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Table 7 presents the results for testing of the second equation to assess the impact of corporate governance disclosure on stock prices of consumer goods firms on the NSE.</w:t>
      </w:r>
    </w:p>
    <w:p w:rsidR="00D3058A" w:rsidRPr="00235969" w:rsidRDefault="00D3058A"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D3058A" w:rsidRPr="00235969" w:rsidRDefault="0056450E">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 xml:space="preserve">Table 7: Estimated Panel Feasible </w:t>
      </w:r>
      <w:proofErr w:type="spellStart"/>
      <w:r w:rsidRPr="00235969">
        <w:rPr>
          <w:rFonts w:ascii="Times New Roman" w:eastAsia="Times New Roman" w:hAnsi="Times New Roman" w:cs="Times New Roman"/>
          <w:color w:val="000000"/>
          <w:sz w:val="20"/>
          <w:szCs w:val="20"/>
        </w:rPr>
        <w:t>Generalised</w:t>
      </w:r>
      <w:proofErr w:type="spellEnd"/>
      <w:r w:rsidRPr="00235969">
        <w:rPr>
          <w:rFonts w:ascii="Times New Roman" w:eastAsia="Times New Roman" w:hAnsi="Times New Roman" w:cs="Times New Roman"/>
          <w:color w:val="000000"/>
          <w:sz w:val="20"/>
          <w:szCs w:val="20"/>
        </w:rPr>
        <w:t xml:space="preserve"> Least Square (FGLS) Regression </w:t>
      </w:r>
    </w:p>
    <w:p w:rsidR="00D3058A" w:rsidRPr="00235969" w:rsidRDefault="0056450E">
      <w:pPr>
        <w:spacing w:after="0" w:line="360" w:lineRule="auto"/>
        <w:ind w:firstLine="720"/>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(Dependent = CGD)</w:t>
      </w:r>
    </w:p>
    <w:tbl>
      <w:tblPr>
        <w:tblStyle w:val="a5"/>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440"/>
        <w:gridCol w:w="1236"/>
        <w:gridCol w:w="943"/>
        <w:gridCol w:w="896"/>
        <w:gridCol w:w="1359"/>
        <w:gridCol w:w="1236"/>
      </w:tblGrid>
      <w:tr w:rsidR="00D3058A" w:rsidRPr="00235969">
        <w:tc>
          <w:tcPr>
            <w:tcW w:w="1705" w:type="dxa"/>
            <w:shd w:val="clear" w:color="auto" w:fill="BFBFBF"/>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CGD</w:t>
            </w:r>
          </w:p>
        </w:tc>
        <w:tc>
          <w:tcPr>
            <w:tcW w:w="1440" w:type="dxa"/>
            <w:shd w:val="clear" w:color="auto" w:fill="BFBFBF"/>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Coef</w:t>
            </w:r>
            <w:proofErr w:type="spellEnd"/>
            <w:r w:rsidRPr="00235969">
              <w:rPr>
                <w:rFonts w:ascii="Times New Roman" w:eastAsia="Times New Roman" w:hAnsi="Times New Roman" w:cs="Times New Roman"/>
                <w:color w:val="000000"/>
                <w:sz w:val="20"/>
                <w:szCs w:val="20"/>
              </w:rPr>
              <w:t>.</w:t>
            </w:r>
          </w:p>
        </w:tc>
        <w:tc>
          <w:tcPr>
            <w:tcW w:w="1236" w:type="dxa"/>
            <w:shd w:val="clear" w:color="auto" w:fill="BFBFBF"/>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Std. Err.</w:t>
            </w:r>
          </w:p>
        </w:tc>
        <w:tc>
          <w:tcPr>
            <w:tcW w:w="943" w:type="dxa"/>
            <w:shd w:val="clear" w:color="auto" w:fill="BFBFBF"/>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z</w:t>
            </w:r>
          </w:p>
        </w:tc>
        <w:tc>
          <w:tcPr>
            <w:tcW w:w="896" w:type="dxa"/>
            <w:shd w:val="clear" w:color="auto" w:fill="BFBFBF"/>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P&gt;|z|</w:t>
            </w:r>
          </w:p>
        </w:tc>
        <w:tc>
          <w:tcPr>
            <w:tcW w:w="2595" w:type="dxa"/>
            <w:gridSpan w:val="2"/>
            <w:shd w:val="clear" w:color="auto" w:fill="BFBFBF"/>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[95% conf. interval ]</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sp</w:t>
            </w:r>
            <w:proofErr w:type="spellEnd"/>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0.0138319</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0.0062745</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2.20</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0.027</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0.0015342</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0.0261297</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roa</w:t>
            </w:r>
            <w:proofErr w:type="spellEnd"/>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-0.0182466</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0.2467888</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-0.07</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0.941</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-0.5019439</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0.4654506</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fsize</w:t>
            </w:r>
            <w:proofErr w:type="spellEnd"/>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-1.263167</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0.9984437</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-1.27</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0.206</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-3.220081</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0.6937462</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levr</w:t>
            </w:r>
            <w:proofErr w:type="spellEnd"/>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0.1348616</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0.1053703</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1.28</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0.201</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-0.0716603</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0.3413835</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dp</w:t>
            </w:r>
            <w:proofErr w:type="spellEnd"/>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-10.17871</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3.466938</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-2.94</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0.003</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-16.97378</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-3.383636</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ind</w:t>
            </w:r>
            <w:proofErr w:type="spellEnd"/>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-0.8151205</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1.119885</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-0.73</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0.467</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-3.010054</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1.379813</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Constant</w:t>
            </w:r>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83.33616</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18.63184</w:t>
            </w:r>
          </w:p>
        </w:tc>
        <w:tc>
          <w:tcPr>
            <w:tcW w:w="943"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4.47</w:t>
            </w:r>
          </w:p>
        </w:tc>
        <w:tc>
          <w:tcPr>
            <w:tcW w:w="89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0.000</w:t>
            </w:r>
          </w:p>
        </w:tc>
        <w:tc>
          <w:tcPr>
            <w:tcW w:w="1359"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46.81842</w:t>
            </w:r>
          </w:p>
        </w:tc>
        <w:tc>
          <w:tcPr>
            <w:tcW w:w="1236"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119.8539</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lastRenderedPageBreak/>
              <w:t xml:space="preserve">mean dep </w:t>
            </w:r>
            <w:proofErr w:type="spellStart"/>
            <w:r w:rsidRPr="00235969">
              <w:rPr>
                <w:rFonts w:ascii="Times New Roman" w:eastAsia="Times New Roman" w:hAnsi="Times New Roman" w:cs="Times New Roman"/>
                <w:color w:val="000000"/>
                <w:sz w:val="20"/>
                <w:szCs w:val="20"/>
              </w:rPr>
              <w:t>var</w:t>
            </w:r>
            <w:proofErr w:type="spellEnd"/>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61.75694</w:t>
            </w:r>
          </w:p>
        </w:tc>
        <w:tc>
          <w:tcPr>
            <w:tcW w:w="2179" w:type="dxa"/>
            <w:gridSpan w:val="2"/>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 xml:space="preserve">SD dep. </w:t>
            </w:r>
            <w:proofErr w:type="spellStart"/>
            <w:r w:rsidRPr="00235969">
              <w:rPr>
                <w:rFonts w:ascii="Times New Roman" w:eastAsia="Times New Roman" w:hAnsi="Times New Roman" w:cs="Times New Roman"/>
                <w:color w:val="000000"/>
                <w:sz w:val="20"/>
                <w:szCs w:val="20"/>
              </w:rPr>
              <w:t>var</w:t>
            </w:r>
            <w:proofErr w:type="spellEnd"/>
          </w:p>
        </w:tc>
        <w:tc>
          <w:tcPr>
            <w:tcW w:w="3491" w:type="dxa"/>
            <w:gridSpan w:val="3"/>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19.89316</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 xml:space="preserve">Num. of </w:t>
            </w:r>
            <w:proofErr w:type="spellStart"/>
            <w:r w:rsidRPr="00235969">
              <w:rPr>
                <w:rFonts w:ascii="Times New Roman" w:eastAsia="Times New Roman" w:hAnsi="Times New Roman" w:cs="Times New Roman"/>
                <w:color w:val="000000"/>
                <w:sz w:val="20"/>
                <w:szCs w:val="20"/>
              </w:rPr>
              <w:t>obs</w:t>
            </w:r>
            <w:proofErr w:type="spellEnd"/>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143</w:t>
            </w:r>
          </w:p>
        </w:tc>
        <w:tc>
          <w:tcPr>
            <w:tcW w:w="2179" w:type="dxa"/>
            <w:gridSpan w:val="2"/>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Chi-square</w:t>
            </w:r>
          </w:p>
        </w:tc>
        <w:tc>
          <w:tcPr>
            <w:tcW w:w="3491" w:type="dxa"/>
            <w:gridSpan w:val="3"/>
          </w:tcPr>
          <w:p w:rsidR="00D3058A" w:rsidRPr="00235969" w:rsidRDefault="0056450E">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18.52</w:t>
            </w:r>
          </w:p>
        </w:tc>
      </w:tr>
      <w:tr w:rsidR="00D3058A" w:rsidRPr="00235969">
        <w:tc>
          <w:tcPr>
            <w:tcW w:w="1705" w:type="dxa"/>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Prob</w:t>
            </w:r>
            <w:proofErr w:type="spellEnd"/>
            <w:r w:rsidRPr="00235969">
              <w:rPr>
                <w:rFonts w:ascii="Times New Roman" w:eastAsia="Times New Roman" w:hAnsi="Times New Roman" w:cs="Times New Roman"/>
                <w:color w:val="000000"/>
                <w:sz w:val="20"/>
                <w:szCs w:val="20"/>
              </w:rPr>
              <w:t>&gt; chi</w:t>
            </w:r>
            <w:r w:rsidRPr="00235969">
              <w:rPr>
                <w:rFonts w:ascii="Times New Roman" w:eastAsia="Times New Roman" w:hAnsi="Times New Roman" w:cs="Times New Roman"/>
                <w:color w:val="000000"/>
                <w:sz w:val="20"/>
                <w:szCs w:val="20"/>
                <w:vertAlign w:val="superscript"/>
              </w:rPr>
              <w:t>2</w:t>
            </w:r>
          </w:p>
        </w:tc>
        <w:tc>
          <w:tcPr>
            <w:tcW w:w="1440" w:type="dxa"/>
          </w:tcPr>
          <w:p w:rsidR="00D3058A" w:rsidRPr="00235969" w:rsidRDefault="0056450E">
            <w:pPr>
              <w:pBdr>
                <w:top w:val="nil"/>
                <w:left w:val="nil"/>
                <w:bottom w:val="nil"/>
                <w:right w:val="nil"/>
                <w:between w:val="nil"/>
              </w:pBdr>
              <w:spacing w:after="160" w:line="360" w:lineRule="auto"/>
              <w:jc w:val="right"/>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0.0051</w:t>
            </w:r>
          </w:p>
        </w:tc>
        <w:tc>
          <w:tcPr>
            <w:tcW w:w="2179" w:type="dxa"/>
            <w:gridSpan w:val="2"/>
          </w:tcPr>
          <w:p w:rsidR="00D3058A" w:rsidRPr="00235969" w:rsidRDefault="0056450E">
            <w:pPr>
              <w:pBdr>
                <w:top w:val="nil"/>
                <w:left w:val="nil"/>
                <w:bottom w:val="nil"/>
                <w:right w:val="nil"/>
                <w:between w:val="nil"/>
              </w:pBdr>
              <w:spacing w:after="160" w:line="360" w:lineRule="auto"/>
              <w:jc w:val="both"/>
              <w:rPr>
                <w:rFonts w:ascii="Times New Roman" w:eastAsia="Times New Roman" w:hAnsi="Times New Roman" w:cs="Times New Roman"/>
                <w:color w:val="000000"/>
                <w:sz w:val="20"/>
                <w:szCs w:val="20"/>
              </w:rPr>
            </w:pPr>
            <w:proofErr w:type="spellStart"/>
            <w:r w:rsidRPr="00235969">
              <w:rPr>
                <w:rFonts w:ascii="Times New Roman" w:eastAsia="Times New Roman" w:hAnsi="Times New Roman" w:cs="Times New Roman"/>
                <w:color w:val="000000"/>
                <w:sz w:val="20"/>
                <w:szCs w:val="20"/>
              </w:rPr>
              <w:t>Akaike</w:t>
            </w:r>
            <w:proofErr w:type="spellEnd"/>
            <w:r w:rsidRPr="00235969">
              <w:rPr>
                <w:rFonts w:ascii="Times New Roman" w:eastAsia="Times New Roman" w:hAnsi="Times New Roman" w:cs="Times New Roman"/>
                <w:color w:val="000000"/>
                <w:sz w:val="20"/>
                <w:szCs w:val="20"/>
              </w:rPr>
              <w:t xml:space="preserve"> Crit. (AIC)</w:t>
            </w:r>
          </w:p>
        </w:tc>
        <w:tc>
          <w:tcPr>
            <w:tcW w:w="3491" w:type="dxa"/>
            <w:gridSpan w:val="3"/>
          </w:tcPr>
          <w:p w:rsidR="00D3058A" w:rsidRPr="00235969" w:rsidRDefault="00D3058A">
            <w:pPr>
              <w:pBdr>
                <w:top w:val="nil"/>
                <w:left w:val="nil"/>
                <w:bottom w:val="nil"/>
                <w:right w:val="nil"/>
                <w:between w:val="nil"/>
              </w:pBdr>
              <w:spacing w:after="160" w:line="360" w:lineRule="auto"/>
              <w:jc w:val="center"/>
              <w:rPr>
                <w:rFonts w:ascii="Times New Roman" w:eastAsia="Times New Roman" w:hAnsi="Times New Roman" w:cs="Times New Roman"/>
                <w:color w:val="000000"/>
                <w:sz w:val="20"/>
                <w:szCs w:val="20"/>
              </w:rPr>
            </w:pPr>
          </w:p>
        </w:tc>
      </w:tr>
    </w:tbl>
    <w:p w:rsidR="00D3058A" w:rsidRPr="00235969" w:rsidRDefault="00D3058A">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p>
    <w:p w:rsidR="00D3058A" w:rsidRPr="00235969" w:rsidRDefault="0056450E"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35969">
        <w:rPr>
          <w:rFonts w:ascii="Times New Roman" w:eastAsia="Times New Roman" w:hAnsi="Times New Roman" w:cs="Times New Roman"/>
          <w:color w:val="000000"/>
          <w:sz w:val="20"/>
          <w:szCs w:val="20"/>
        </w:rPr>
        <w:t xml:space="preserve">Table 7 </w:t>
      </w:r>
      <w:r w:rsidRPr="00235969">
        <w:rPr>
          <w:rFonts w:ascii="Times New Roman" w:eastAsia="Times New Roman" w:hAnsi="Times New Roman" w:cs="Times New Roman"/>
          <w:sz w:val="20"/>
          <w:szCs w:val="20"/>
        </w:rPr>
        <w:t>shows</w:t>
      </w:r>
      <w:r w:rsidRPr="00235969">
        <w:rPr>
          <w:rFonts w:ascii="Times New Roman" w:eastAsia="Times New Roman" w:hAnsi="Times New Roman" w:cs="Times New Roman"/>
          <w:color w:val="000000"/>
          <w:sz w:val="20"/>
          <w:szCs w:val="20"/>
        </w:rPr>
        <w:t xml:space="preserve"> the results for the impact of corporate governance disclosure on stock prices among other control variables. The table shows that corporate governance disclosure impacts on the stock prices of consumer goods firms listed on the NSE at the 0.05 level of significance (</w:t>
      </w:r>
      <w:proofErr w:type="spellStart"/>
      <w:r w:rsidRPr="00235969">
        <w:rPr>
          <w:rFonts w:ascii="Times New Roman" w:eastAsia="Times New Roman" w:hAnsi="Times New Roman" w:cs="Times New Roman"/>
          <w:color w:val="000000"/>
          <w:sz w:val="20"/>
          <w:szCs w:val="20"/>
        </w:rPr>
        <w:t>coeff</w:t>
      </w:r>
      <w:proofErr w:type="spellEnd"/>
      <w:r w:rsidRPr="00235969">
        <w:rPr>
          <w:rFonts w:ascii="Times New Roman" w:eastAsia="Times New Roman" w:hAnsi="Times New Roman" w:cs="Times New Roman"/>
          <w:color w:val="000000"/>
          <w:sz w:val="20"/>
          <w:szCs w:val="20"/>
        </w:rPr>
        <w:t>. = 0.0138319; p-value = 0.027). This means that the hypothesis that firms with more positive corporate governance reports will have their stock prices impacted positively is accepted.</w:t>
      </w:r>
    </w:p>
    <w:p w:rsidR="00D3058A" w:rsidRPr="00235969" w:rsidRDefault="00D3058A"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D3058A" w:rsidRDefault="0056450E"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sidRPr="00235969">
        <w:rPr>
          <w:rFonts w:ascii="Times New Roman" w:eastAsia="Times New Roman" w:hAnsi="Times New Roman" w:cs="Times New Roman"/>
          <w:color w:val="000000"/>
          <w:sz w:val="20"/>
          <w:szCs w:val="20"/>
        </w:rPr>
        <w:t>Of the control variables, only dividend policy (</w:t>
      </w:r>
      <w:proofErr w:type="spellStart"/>
      <w:r w:rsidRPr="00235969">
        <w:rPr>
          <w:rFonts w:ascii="Times New Roman" w:eastAsia="Times New Roman" w:hAnsi="Times New Roman" w:cs="Times New Roman"/>
          <w:color w:val="000000"/>
          <w:sz w:val="20"/>
          <w:szCs w:val="20"/>
        </w:rPr>
        <w:t>coeff</w:t>
      </w:r>
      <w:proofErr w:type="spellEnd"/>
      <w:r w:rsidRPr="00235969">
        <w:rPr>
          <w:rFonts w:ascii="Times New Roman" w:eastAsia="Times New Roman" w:hAnsi="Times New Roman" w:cs="Times New Roman"/>
          <w:color w:val="000000"/>
          <w:sz w:val="20"/>
          <w:szCs w:val="20"/>
        </w:rPr>
        <w:t>.</w:t>
      </w:r>
      <w:proofErr w:type="gramEnd"/>
      <w:r w:rsidRPr="00235969">
        <w:rPr>
          <w:rFonts w:ascii="Times New Roman" w:eastAsia="Times New Roman" w:hAnsi="Times New Roman" w:cs="Times New Roman"/>
          <w:color w:val="000000"/>
          <w:sz w:val="20"/>
          <w:szCs w:val="20"/>
        </w:rPr>
        <w:t xml:space="preserve"> = -10.17871; p-value = 0.003) is significantly impacted by the corporate governance disclosure score. </w:t>
      </w:r>
      <w:proofErr w:type="gramStart"/>
      <w:r w:rsidRPr="00235969">
        <w:rPr>
          <w:rFonts w:ascii="Times New Roman" w:eastAsia="Times New Roman" w:hAnsi="Times New Roman" w:cs="Times New Roman"/>
          <w:color w:val="000000"/>
          <w:sz w:val="20"/>
          <w:szCs w:val="20"/>
        </w:rPr>
        <w:t>All other variables, including the profitability (ROA) (</w:t>
      </w:r>
      <w:proofErr w:type="spellStart"/>
      <w:r w:rsidRPr="00235969">
        <w:rPr>
          <w:rFonts w:ascii="Times New Roman" w:eastAsia="Times New Roman" w:hAnsi="Times New Roman" w:cs="Times New Roman"/>
          <w:color w:val="000000"/>
          <w:sz w:val="20"/>
          <w:szCs w:val="20"/>
        </w:rPr>
        <w:t>coeff</w:t>
      </w:r>
      <w:proofErr w:type="spellEnd"/>
      <w:r w:rsidRPr="00235969">
        <w:rPr>
          <w:rFonts w:ascii="Times New Roman" w:eastAsia="Times New Roman" w:hAnsi="Times New Roman" w:cs="Times New Roman"/>
          <w:color w:val="000000"/>
          <w:sz w:val="20"/>
          <w:szCs w:val="20"/>
        </w:rPr>
        <w:t>.</w:t>
      </w:r>
      <w:proofErr w:type="gramEnd"/>
      <w:r w:rsidRPr="00235969">
        <w:rPr>
          <w:rFonts w:ascii="Times New Roman" w:eastAsia="Times New Roman" w:hAnsi="Times New Roman" w:cs="Times New Roman"/>
          <w:color w:val="000000"/>
          <w:sz w:val="20"/>
          <w:szCs w:val="20"/>
        </w:rPr>
        <w:t xml:space="preserve"> = -0.0182466; p-value = 0.941), firm size (</w:t>
      </w:r>
      <w:proofErr w:type="spellStart"/>
      <w:r w:rsidRPr="00235969">
        <w:rPr>
          <w:rFonts w:ascii="Times New Roman" w:eastAsia="Times New Roman" w:hAnsi="Times New Roman" w:cs="Times New Roman"/>
          <w:color w:val="000000"/>
          <w:sz w:val="20"/>
          <w:szCs w:val="20"/>
        </w:rPr>
        <w:t>coeff</w:t>
      </w:r>
      <w:proofErr w:type="spellEnd"/>
      <w:r w:rsidRPr="00235969">
        <w:rPr>
          <w:rFonts w:ascii="Times New Roman" w:eastAsia="Times New Roman" w:hAnsi="Times New Roman" w:cs="Times New Roman"/>
          <w:color w:val="000000"/>
          <w:sz w:val="20"/>
          <w:szCs w:val="20"/>
        </w:rPr>
        <w:t>. = -1.263167; p-value = 0.206), leverage (</w:t>
      </w:r>
      <w:proofErr w:type="spellStart"/>
      <w:r w:rsidRPr="00235969">
        <w:rPr>
          <w:rFonts w:ascii="Times New Roman" w:eastAsia="Times New Roman" w:hAnsi="Times New Roman" w:cs="Times New Roman"/>
          <w:color w:val="000000"/>
          <w:sz w:val="20"/>
          <w:szCs w:val="20"/>
        </w:rPr>
        <w:t>coeff</w:t>
      </w:r>
      <w:proofErr w:type="spellEnd"/>
      <w:r w:rsidRPr="00235969">
        <w:rPr>
          <w:rFonts w:ascii="Times New Roman" w:eastAsia="Times New Roman" w:hAnsi="Times New Roman" w:cs="Times New Roman"/>
          <w:color w:val="000000"/>
          <w:sz w:val="20"/>
          <w:szCs w:val="20"/>
        </w:rPr>
        <w:t>. = 0.1348616; p-value = 0.201), and industry (</w:t>
      </w:r>
      <w:proofErr w:type="spellStart"/>
      <w:r w:rsidRPr="00235969">
        <w:rPr>
          <w:rFonts w:ascii="Times New Roman" w:eastAsia="Times New Roman" w:hAnsi="Times New Roman" w:cs="Times New Roman"/>
          <w:color w:val="000000"/>
          <w:sz w:val="20"/>
          <w:szCs w:val="20"/>
        </w:rPr>
        <w:t>coeff</w:t>
      </w:r>
      <w:proofErr w:type="spellEnd"/>
      <w:r w:rsidRPr="00235969">
        <w:rPr>
          <w:rFonts w:ascii="Times New Roman" w:eastAsia="Times New Roman" w:hAnsi="Times New Roman" w:cs="Times New Roman"/>
          <w:color w:val="000000"/>
          <w:sz w:val="20"/>
          <w:szCs w:val="20"/>
        </w:rPr>
        <w:t xml:space="preserve">. = -0.8151205; p-value = 0.467) do not have any significant influence on the relationship between corporate governance disclosure and stock prices of consumer goods firms listed on the NSE. </w:t>
      </w:r>
    </w:p>
    <w:p w:rsidR="00D3058A" w:rsidRDefault="00D3058A" w:rsidP="005D2CD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D3058A" w:rsidRDefault="0056450E" w:rsidP="00235969">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and Conclusion</w:t>
      </w:r>
    </w:p>
    <w:p w:rsidR="00D3058A" w:rsidRPr="00235969" w:rsidRDefault="0056450E" w:rsidP="005D2CDF">
      <w:pPr>
        <w:spacing w:before="240" w:after="0" w:line="240"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 xml:space="preserve">This study investigated the influence of profitability on the corporate governance disclosure of consumer goods firms listed in the Nigeria Stock Exchange, and also how the stock prices of these firms reacted to their corporate governance disclosure, using data collected from 2014 to 2021. The scores for corporate governance disclosure were collected from the Bloomberg database. Because of the presence of </w:t>
      </w:r>
      <w:proofErr w:type="spellStart"/>
      <w:r w:rsidRPr="00235969">
        <w:rPr>
          <w:rFonts w:ascii="Times New Roman" w:eastAsia="Times New Roman" w:hAnsi="Times New Roman" w:cs="Times New Roman"/>
          <w:sz w:val="20"/>
          <w:szCs w:val="20"/>
        </w:rPr>
        <w:t>heteroskedasticity</w:t>
      </w:r>
      <w:proofErr w:type="spellEnd"/>
      <w:r w:rsidRPr="00235969">
        <w:rPr>
          <w:rFonts w:ascii="Times New Roman" w:eastAsia="Times New Roman" w:hAnsi="Times New Roman" w:cs="Times New Roman"/>
          <w:sz w:val="20"/>
          <w:szCs w:val="20"/>
        </w:rPr>
        <w:t xml:space="preserve"> in the data, the feasible generalized least square (FGLS) regression method with a heteroskedastic but uncorrelated, and an independent form of autocorrelation was used to </w:t>
      </w:r>
      <w:proofErr w:type="spellStart"/>
      <w:r w:rsidRPr="00235969">
        <w:rPr>
          <w:rFonts w:ascii="Times New Roman" w:eastAsia="Times New Roman" w:hAnsi="Times New Roman" w:cs="Times New Roman"/>
          <w:sz w:val="20"/>
          <w:szCs w:val="20"/>
        </w:rPr>
        <w:t>analyse</w:t>
      </w:r>
      <w:proofErr w:type="spellEnd"/>
      <w:r w:rsidRPr="00235969">
        <w:rPr>
          <w:rFonts w:ascii="Times New Roman" w:eastAsia="Times New Roman" w:hAnsi="Times New Roman" w:cs="Times New Roman"/>
          <w:sz w:val="20"/>
          <w:szCs w:val="20"/>
        </w:rPr>
        <w:t xml:space="preserve"> the data. As </w:t>
      </w:r>
      <w:proofErr w:type="spellStart"/>
      <w:r w:rsidRPr="00235969">
        <w:rPr>
          <w:rFonts w:ascii="Times New Roman" w:eastAsia="Times New Roman" w:hAnsi="Times New Roman" w:cs="Times New Roman"/>
          <w:sz w:val="20"/>
          <w:szCs w:val="20"/>
        </w:rPr>
        <w:t>Baltagi</w:t>
      </w:r>
      <w:proofErr w:type="spellEnd"/>
      <w:r w:rsidRPr="00235969">
        <w:rPr>
          <w:rFonts w:ascii="Times New Roman" w:eastAsia="Times New Roman" w:hAnsi="Times New Roman" w:cs="Times New Roman"/>
          <w:sz w:val="20"/>
          <w:szCs w:val="20"/>
        </w:rPr>
        <w:t xml:space="preserve"> (2010) had explained, this method is very useful because it possesses the mechanism to accommodate non-normality and control for </w:t>
      </w:r>
      <w:proofErr w:type="spellStart"/>
      <w:r w:rsidRPr="00235969">
        <w:rPr>
          <w:rFonts w:ascii="Times New Roman" w:eastAsia="Times New Roman" w:hAnsi="Times New Roman" w:cs="Times New Roman"/>
          <w:sz w:val="20"/>
          <w:szCs w:val="20"/>
        </w:rPr>
        <w:t>heteroskedasticity</w:t>
      </w:r>
      <w:proofErr w:type="spellEnd"/>
      <w:r w:rsidRPr="00235969">
        <w:rPr>
          <w:rFonts w:ascii="Times New Roman" w:eastAsia="Times New Roman" w:hAnsi="Times New Roman" w:cs="Times New Roman"/>
          <w:sz w:val="20"/>
          <w:szCs w:val="20"/>
        </w:rPr>
        <w:t xml:space="preserve">. </w:t>
      </w:r>
    </w:p>
    <w:p w:rsidR="00D3058A" w:rsidRPr="00235969" w:rsidRDefault="0056450E" w:rsidP="005D2CDF">
      <w:pPr>
        <w:spacing w:before="240" w:after="0" w:line="240"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Following the regression analysis, it was discovered that the profitability of the firm has no significant impact on its corporate governance disclosure, but only impacts on the stock price of the firm, regardless of firm industry, size, leverage, or dividend policy. However, the study found that there was a significant and mildly positive impact of corporate governance disclosure on the stock prices of consumer goods firms in the NSE. Of the control variables, only the dividend policy of the firm significantly influenced this relationship. Looking at this finding from the perspective of the agency theory, it indicates that shareholders react positively to the practice of reporting their governance practices by the management. This is because, as it is the presupposition of the theory, firm management cannot be trusted to act in the interest of the shareholders. Therefore, such governance disclosures and reports are necessary as one of the tools for monitoring the ‘self-serving agents’. Other tools as highlighted by James (2023) include the implementation of effective corporate governance and control structures. Another way of explaining this finding is through the efficient market hypothesis. Because investors are always looking out for how to increase their gains, an efficient market, which implies that information is efficiently flowing into the market especially through disclosures and reports, will make the stock prices of firms adjust to their fair market value in reaction to new information (</w:t>
      </w:r>
      <w:proofErr w:type="spellStart"/>
      <w:r w:rsidRPr="00235969">
        <w:rPr>
          <w:rFonts w:ascii="Times New Roman" w:eastAsia="Times New Roman" w:hAnsi="Times New Roman" w:cs="Times New Roman"/>
          <w:sz w:val="20"/>
          <w:szCs w:val="20"/>
        </w:rPr>
        <w:t>Aktan</w:t>
      </w:r>
      <w:proofErr w:type="spellEnd"/>
      <w:r w:rsidRPr="00235969">
        <w:rPr>
          <w:rFonts w:ascii="Times New Roman" w:eastAsia="Times New Roman" w:hAnsi="Times New Roman" w:cs="Times New Roman"/>
          <w:sz w:val="20"/>
          <w:szCs w:val="20"/>
        </w:rPr>
        <w:t xml:space="preserve"> et al., 2018; </w:t>
      </w:r>
      <w:proofErr w:type="spellStart"/>
      <w:r w:rsidRPr="00235969">
        <w:rPr>
          <w:rFonts w:ascii="Times New Roman" w:eastAsia="Times New Roman" w:hAnsi="Times New Roman" w:cs="Times New Roman"/>
          <w:sz w:val="20"/>
          <w:szCs w:val="20"/>
        </w:rPr>
        <w:t>Bodie</w:t>
      </w:r>
      <w:proofErr w:type="spellEnd"/>
      <w:r w:rsidRPr="00235969">
        <w:rPr>
          <w:rFonts w:ascii="Times New Roman" w:eastAsia="Times New Roman" w:hAnsi="Times New Roman" w:cs="Times New Roman"/>
          <w:sz w:val="20"/>
          <w:szCs w:val="20"/>
        </w:rPr>
        <w:t xml:space="preserve"> et al., 2003).</w:t>
      </w:r>
    </w:p>
    <w:p w:rsidR="00D3058A" w:rsidRPr="00235969" w:rsidRDefault="0056450E" w:rsidP="005D2CDF">
      <w:pPr>
        <w:spacing w:before="240" w:after="0" w:line="240"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 xml:space="preserve">Beyond satisfying the assumptions of the theories of this study, the findings agree with those of previous other findings, like Li et al. (2017), </w:t>
      </w:r>
      <w:proofErr w:type="spellStart"/>
      <w:r w:rsidRPr="00235969">
        <w:rPr>
          <w:rFonts w:ascii="Times New Roman" w:eastAsia="Times New Roman" w:hAnsi="Times New Roman" w:cs="Times New Roman"/>
          <w:sz w:val="20"/>
          <w:szCs w:val="20"/>
        </w:rPr>
        <w:t>Aboud</w:t>
      </w:r>
      <w:proofErr w:type="spellEnd"/>
      <w:r w:rsidRPr="00235969">
        <w:rPr>
          <w:rFonts w:ascii="Times New Roman" w:eastAsia="Times New Roman" w:hAnsi="Times New Roman" w:cs="Times New Roman"/>
          <w:sz w:val="20"/>
          <w:szCs w:val="20"/>
        </w:rPr>
        <w:t xml:space="preserve"> and </w:t>
      </w:r>
      <w:proofErr w:type="spellStart"/>
      <w:r w:rsidRPr="00235969">
        <w:rPr>
          <w:rFonts w:ascii="Times New Roman" w:eastAsia="Times New Roman" w:hAnsi="Times New Roman" w:cs="Times New Roman"/>
          <w:sz w:val="20"/>
          <w:szCs w:val="20"/>
        </w:rPr>
        <w:t>Diab</w:t>
      </w:r>
      <w:proofErr w:type="spellEnd"/>
      <w:r w:rsidRPr="00235969">
        <w:rPr>
          <w:rFonts w:ascii="Times New Roman" w:eastAsia="Times New Roman" w:hAnsi="Times New Roman" w:cs="Times New Roman"/>
          <w:sz w:val="20"/>
          <w:szCs w:val="20"/>
        </w:rPr>
        <w:t xml:space="preserve"> (2018), Rossi and </w:t>
      </w:r>
      <w:proofErr w:type="spellStart"/>
      <w:r w:rsidRPr="00235969">
        <w:rPr>
          <w:rFonts w:ascii="Times New Roman" w:eastAsia="Times New Roman" w:hAnsi="Times New Roman" w:cs="Times New Roman"/>
          <w:sz w:val="20"/>
          <w:szCs w:val="20"/>
        </w:rPr>
        <w:t>Harjoto</w:t>
      </w:r>
      <w:proofErr w:type="spellEnd"/>
      <w:r w:rsidRPr="00235969">
        <w:rPr>
          <w:rFonts w:ascii="Times New Roman" w:eastAsia="Times New Roman" w:hAnsi="Times New Roman" w:cs="Times New Roman"/>
          <w:sz w:val="20"/>
          <w:szCs w:val="20"/>
        </w:rPr>
        <w:t xml:space="preserve"> (2020), Xu et al. (2020), </w:t>
      </w:r>
      <w:proofErr w:type="spellStart"/>
      <w:r w:rsidRPr="00235969">
        <w:rPr>
          <w:rFonts w:ascii="Times New Roman" w:eastAsia="Times New Roman" w:hAnsi="Times New Roman" w:cs="Times New Roman"/>
          <w:sz w:val="20"/>
          <w:szCs w:val="20"/>
        </w:rPr>
        <w:t>Arif</w:t>
      </w:r>
      <w:proofErr w:type="spellEnd"/>
      <w:r w:rsidRPr="00235969">
        <w:rPr>
          <w:rFonts w:ascii="Times New Roman" w:eastAsia="Times New Roman" w:hAnsi="Times New Roman" w:cs="Times New Roman"/>
          <w:sz w:val="20"/>
          <w:szCs w:val="20"/>
        </w:rPr>
        <w:t xml:space="preserve"> et al. (2022), and </w:t>
      </w:r>
      <w:proofErr w:type="spellStart"/>
      <w:r w:rsidRPr="00235969">
        <w:rPr>
          <w:rFonts w:ascii="Times New Roman" w:eastAsia="Times New Roman" w:hAnsi="Times New Roman" w:cs="Times New Roman"/>
          <w:sz w:val="20"/>
          <w:szCs w:val="20"/>
        </w:rPr>
        <w:t>Widiatmoko</w:t>
      </w:r>
      <w:proofErr w:type="spellEnd"/>
      <w:r w:rsidRPr="00235969">
        <w:rPr>
          <w:rFonts w:ascii="Times New Roman" w:eastAsia="Times New Roman" w:hAnsi="Times New Roman" w:cs="Times New Roman"/>
          <w:sz w:val="20"/>
          <w:szCs w:val="20"/>
        </w:rPr>
        <w:t xml:space="preserve"> et al., (2020), all of whom found similar results of a correlation between ESG disclosure and stock prices of firms across various industries, while disagreeing with studies that did not find any positive correlation between corporate governance disclosure and stock price reaction, like </w:t>
      </w:r>
      <w:proofErr w:type="spellStart"/>
      <w:r w:rsidRPr="00235969">
        <w:rPr>
          <w:rFonts w:ascii="Times New Roman" w:eastAsia="Times New Roman" w:hAnsi="Times New Roman" w:cs="Times New Roman"/>
          <w:sz w:val="20"/>
          <w:szCs w:val="20"/>
        </w:rPr>
        <w:t>Fatemi</w:t>
      </w:r>
      <w:proofErr w:type="spellEnd"/>
      <w:r w:rsidRPr="00235969">
        <w:rPr>
          <w:rFonts w:ascii="Times New Roman" w:eastAsia="Times New Roman" w:hAnsi="Times New Roman" w:cs="Times New Roman"/>
          <w:sz w:val="20"/>
          <w:szCs w:val="20"/>
        </w:rPr>
        <w:t xml:space="preserve"> et al. (2017), and </w:t>
      </w:r>
      <w:proofErr w:type="spellStart"/>
      <w:r w:rsidRPr="00235969">
        <w:rPr>
          <w:rFonts w:ascii="Times New Roman" w:eastAsia="Times New Roman" w:hAnsi="Times New Roman" w:cs="Times New Roman"/>
          <w:sz w:val="20"/>
          <w:szCs w:val="20"/>
        </w:rPr>
        <w:t>Cordazzo</w:t>
      </w:r>
      <w:proofErr w:type="spellEnd"/>
      <w:r w:rsidRPr="00235969">
        <w:rPr>
          <w:rFonts w:ascii="Times New Roman" w:eastAsia="Times New Roman" w:hAnsi="Times New Roman" w:cs="Times New Roman"/>
          <w:sz w:val="20"/>
          <w:szCs w:val="20"/>
        </w:rPr>
        <w:t xml:space="preserve"> et al. (2020). Also, unlike in Yoon et al.’s (2018), </w:t>
      </w:r>
      <w:proofErr w:type="spellStart"/>
      <w:r w:rsidRPr="00235969">
        <w:rPr>
          <w:rFonts w:ascii="Times New Roman" w:eastAsia="Times New Roman" w:hAnsi="Times New Roman" w:cs="Times New Roman"/>
          <w:sz w:val="20"/>
          <w:szCs w:val="20"/>
        </w:rPr>
        <w:t>Miralles-Quiros</w:t>
      </w:r>
      <w:proofErr w:type="spellEnd"/>
      <w:r w:rsidRPr="00235969">
        <w:rPr>
          <w:rFonts w:ascii="Times New Roman" w:eastAsia="Times New Roman" w:hAnsi="Times New Roman" w:cs="Times New Roman"/>
          <w:sz w:val="20"/>
          <w:szCs w:val="20"/>
        </w:rPr>
        <w:t xml:space="preserve"> et al.’s (2018), </w:t>
      </w:r>
      <w:proofErr w:type="spellStart"/>
      <w:r w:rsidRPr="00235969">
        <w:rPr>
          <w:rFonts w:ascii="Times New Roman" w:eastAsia="Times New Roman" w:hAnsi="Times New Roman" w:cs="Times New Roman"/>
          <w:sz w:val="20"/>
          <w:szCs w:val="20"/>
        </w:rPr>
        <w:t>Shakil’s</w:t>
      </w:r>
      <w:proofErr w:type="spellEnd"/>
      <w:r w:rsidRPr="00235969">
        <w:rPr>
          <w:rFonts w:ascii="Times New Roman" w:eastAsia="Times New Roman" w:hAnsi="Times New Roman" w:cs="Times New Roman"/>
          <w:sz w:val="20"/>
          <w:szCs w:val="20"/>
        </w:rPr>
        <w:t xml:space="preserve"> (2020) and </w:t>
      </w:r>
      <w:proofErr w:type="spellStart"/>
      <w:r w:rsidRPr="00235969">
        <w:rPr>
          <w:rFonts w:ascii="Times New Roman" w:eastAsia="Times New Roman" w:hAnsi="Times New Roman" w:cs="Times New Roman"/>
          <w:sz w:val="20"/>
          <w:szCs w:val="20"/>
        </w:rPr>
        <w:t>Pulino</w:t>
      </w:r>
      <w:proofErr w:type="spellEnd"/>
      <w:r w:rsidRPr="00235969">
        <w:rPr>
          <w:rFonts w:ascii="Times New Roman" w:eastAsia="Times New Roman" w:hAnsi="Times New Roman" w:cs="Times New Roman"/>
          <w:sz w:val="20"/>
          <w:szCs w:val="20"/>
        </w:rPr>
        <w:t xml:space="preserve"> et al.’s (2022) studies, the present study did not find any influence of firm characteristics on the relationship between corporate governance disclosure and stock price reaction.  </w:t>
      </w:r>
    </w:p>
    <w:p w:rsidR="00D3058A" w:rsidRPr="00235969" w:rsidRDefault="0056450E" w:rsidP="005D2CDF">
      <w:pPr>
        <w:spacing w:before="240" w:after="0" w:line="240"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 xml:space="preserve">This work contributed to the growing literature on the impact of corporate governance disclosure on stock price reaction by filling the gap that is created by the non-existence of studies with the characteristics of the present study, like using </w:t>
      </w:r>
      <w:r w:rsidRPr="00235969">
        <w:rPr>
          <w:rFonts w:ascii="Times New Roman" w:eastAsia="Times New Roman" w:hAnsi="Times New Roman" w:cs="Times New Roman"/>
          <w:sz w:val="20"/>
          <w:szCs w:val="20"/>
        </w:rPr>
        <w:lastRenderedPageBreak/>
        <w:t>consumer goods firms listed in the NSE for the period of 2014-2021, and adopting the FGLS method of analysis. It is however suggested that future studies investigate a similar topic but with a larger sample size, and across countries to determine whether the findings can be similar in different countries, which will indicate if truly the industry has had a significant impact in the present study.</w:t>
      </w:r>
    </w:p>
    <w:p w:rsidR="00D3058A" w:rsidRPr="00235969" w:rsidRDefault="0056450E" w:rsidP="005D2CDF">
      <w:pPr>
        <w:spacing w:before="240" w:after="0" w:line="240"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The results from the study further expands the current understanding on the issue of corporate governance disclosure and stock prices in Nigeria as an emerging market, thereby providing a different perspective to the debate and contributing to the literature. Besides its theoretical significance, the study has practical implications for managers. One key implication is that managements of consumer goods firms in Nigeria are beginning to be more aware of how important it is to disclose their activities considering the need for transparency and building trust with shareholders, and that shareholders value such disclosures which is why the stock prices react either positively or negatively to such reports or disclosures. This calls for the provision of a legal backing to the corporate governance disclosure of firms in order to build investors’ and other stakeholders’ confidence in these activities.</w:t>
      </w:r>
    </w:p>
    <w:p w:rsidR="007C262A" w:rsidRDefault="007C262A">
      <w:pPr>
        <w:spacing w:line="276" w:lineRule="auto"/>
      </w:pPr>
    </w:p>
    <w:p w:rsidR="007C262A" w:rsidRDefault="007C262A">
      <w:pPr>
        <w:spacing w:line="276" w:lineRule="auto"/>
      </w:pPr>
    </w:p>
    <w:p w:rsidR="007C262A" w:rsidRDefault="007C262A">
      <w:pPr>
        <w:spacing w:line="276" w:lineRule="auto"/>
      </w:pPr>
    </w:p>
    <w:p w:rsidR="007C262A" w:rsidRDefault="007C262A">
      <w:pPr>
        <w:spacing w:line="276" w:lineRule="auto"/>
      </w:pPr>
    </w:p>
    <w:p w:rsidR="007C262A" w:rsidRDefault="007C262A">
      <w:pPr>
        <w:spacing w:line="276" w:lineRule="auto"/>
      </w:pPr>
    </w:p>
    <w:p w:rsidR="007C262A" w:rsidRDefault="007C262A">
      <w:pPr>
        <w:spacing w:line="276" w:lineRule="auto"/>
      </w:pPr>
    </w:p>
    <w:p w:rsidR="007C262A" w:rsidRDefault="007C262A">
      <w:pPr>
        <w:spacing w:line="276" w:lineRule="auto"/>
      </w:pPr>
    </w:p>
    <w:p w:rsidR="007C262A" w:rsidRDefault="007C262A">
      <w:pPr>
        <w:spacing w:line="276" w:lineRule="auto"/>
      </w:pPr>
    </w:p>
    <w:p w:rsidR="007C262A" w:rsidRDefault="007C262A">
      <w:pPr>
        <w:spacing w:line="276" w:lineRule="auto"/>
      </w:pPr>
    </w:p>
    <w:p w:rsidR="007C262A" w:rsidRDefault="007C262A">
      <w:pPr>
        <w:spacing w:line="276" w:lineRule="auto"/>
      </w:pPr>
    </w:p>
    <w:p w:rsidR="005D2CDF" w:rsidRDefault="005D2CDF" w:rsidP="00235969">
      <w:pPr>
        <w:spacing w:before="240" w:after="0" w:line="480" w:lineRule="auto"/>
        <w:rPr>
          <w:rFonts w:ascii="Times New Roman" w:eastAsia="Times New Roman" w:hAnsi="Times New Roman" w:cs="Times New Roman"/>
          <w:b/>
          <w:smallCaps/>
          <w:sz w:val="24"/>
          <w:szCs w:val="24"/>
        </w:rPr>
      </w:pPr>
    </w:p>
    <w:p w:rsidR="005D2CDF" w:rsidRDefault="005D2CDF" w:rsidP="00235969">
      <w:pPr>
        <w:spacing w:before="240" w:after="0" w:line="480" w:lineRule="auto"/>
        <w:rPr>
          <w:rFonts w:ascii="Times New Roman" w:eastAsia="Times New Roman" w:hAnsi="Times New Roman" w:cs="Times New Roman"/>
          <w:b/>
          <w:smallCaps/>
          <w:sz w:val="24"/>
          <w:szCs w:val="24"/>
        </w:rPr>
      </w:pPr>
    </w:p>
    <w:p w:rsidR="005D2CDF" w:rsidRDefault="005D2CDF" w:rsidP="00235969">
      <w:pPr>
        <w:spacing w:before="240" w:after="0" w:line="480" w:lineRule="auto"/>
        <w:rPr>
          <w:rFonts w:ascii="Times New Roman" w:eastAsia="Times New Roman" w:hAnsi="Times New Roman" w:cs="Times New Roman"/>
          <w:b/>
          <w:smallCaps/>
          <w:sz w:val="24"/>
          <w:szCs w:val="24"/>
        </w:rPr>
      </w:pPr>
    </w:p>
    <w:p w:rsidR="005D2CDF" w:rsidRDefault="005D2CDF" w:rsidP="00235969">
      <w:pPr>
        <w:spacing w:before="240" w:after="0" w:line="480" w:lineRule="auto"/>
        <w:rPr>
          <w:rFonts w:ascii="Times New Roman" w:eastAsia="Times New Roman" w:hAnsi="Times New Roman" w:cs="Times New Roman"/>
          <w:b/>
          <w:smallCaps/>
          <w:sz w:val="24"/>
          <w:szCs w:val="24"/>
        </w:rPr>
      </w:pPr>
    </w:p>
    <w:p w:rsidR="005D2CDF" w:rsidRDefault="005D2CDF" w:rsidP="00235969">
      <w:pPr>
        <w:spacing w:before="240" w:after="0" w:line="480" w:lineRule="auto"/>
        <w:rPr>
          <w:rFonts w:ascii="Times New Roman" w:eastAsia="Times New Roman" w:hAnsi="Times New Roman" w:cs="Times New Roman"/>
          <w:b/>
          <w:smallCaps/>
          <w:sz w:val="24"/>
          <w:szCs w:val="24"/>
        </w:rPr>
      </w:pPr>
    </w:p>
    <w:p w:rsidR="005D2CDF" w:rsidRDefault="005D2CDF" w:rsidP="00235969">
      <w:pPr>
        <w:spacing w:before="240" w:after="0" w:line="480" w:lineRule="auto"/>
        <w:rPr>
          <w:rFonts w:ascii="Times New Roman" w:eastAsia="Times New Roman" w:hAnsi="Times New Roman" w:cs="Times New Roman"/>
          <w:b/>
          <w:smallCaps/>
          <w:sz w:val="24"/>
          <w:szCs w:val="24"/>
        </w:rPr>
      </w:pPr>
    </w:p>
    <w:p w:rsidR="00D3058A" w:rsidRDefault="0056450E" w:rsidP="00235969">
      <w:pPr>
        <w:spacing w:before="240" w:after="0" w:line="480" w:lineRule="auto"/>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REFERENCES</w:t>
      </w:r>
    </w:p>
    <w:p w:rsidR="00D3058A" w:rsidRPr="007C262A" w:rsidRDefault="007C262A" w:rsidP="007C262A">
      <w:pPr>
        <w:spacing w:after="0" w:line="240" w:lineRule="auto"/>
        <w:ind w:left="270" w:hanging="27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[1] </w:t>
      </w:r>
      <w:proofErr w:type="spellStart"/>
      <w:r w:rsidR="0056450E" w:rsidRPr="007C262A">
        <w:rPr>
          <w:rFonts w:ascii="Times New Roman" w:eastAsia="Times New Roman" w:hAnsi="Times New Roman" w:cs="Times New Roman"/>
          <w:sz w:val="20"/>
          <w:szCs w:val="20"/>
        </w:rPr>
        <w:t>Aboud</w:t>
      </w:r>
      <w:proofErr w:type="spellEnd"/>
      <w:r w:rsidR="0056450E" w:rsidRPr="007C262A">
        <w:rPr>
          <w:rFonts w:ascii="Times New Roman" w:eastAsia="Times New Roman" w:hAnsi="Times New Roman" w:cs="Times New Roman"/>
          <w:sz w:val="20"/>
          <w:szCs w:val="20"/>
        </w:rPr>
        <w:t xml:space="preserve">, A., &amp; </w:t>
      </w:r>
      <w:proofErr w:type="spellStart"/>
      <w:r w:rsidR="0056450E" w:rsidRPr="007C262A">
        <w:rPr>
          <w:rFonts w:ascii="Times New Roman" w:eastAsia="Times New Roman" w:hAnsi="Times New Roman" w:cs="Times New Roman"/>
          <w:sz w:val="20"/>
          <w:szCs w:val="20"/>
        </w:rPr>
        <w:t>Diab</w:t>
      </w:r>
      <w:proofErr w:type="spellEnd"/>
      <w:r w:rsidR="0056450E" w:rsidRPr="007C262A">
        <w:rPr>
          <w:rFonts w:ascii="Times New Roman" w:eastAsia="Times New Roman" w:hAnsi="Times New Roman" w:cs="Times New Roman"/>
          <w:sz w:val="20"/>
          <w:szCs w:val="20"/>
        </w:rPr>
        <w:t xml:space="preserve">, A. (2018). The impact of </w:t>
      </w:r>
      <w:proofErr w:type="gramStart"/>
      <w:r w:rsidR="0056450E" w:rsidRPr="007C262A">
        <w:rPr>
          <w:rFonts w:ascii="Times New Roman" w:eastAsia="Times New Roman" w:hAnsi="Times New Roman" w:cs="Times New Roman"/>
          <w:sz w:val="20"/>
          <w:szCs w:val="20"/>
        </w:rPr>
        <w:t>social ,</w:t>
      </w:r>
      <w:proofErr w:type="gramEnd"/>
      <w:r w:rsidR="0056450E" w:rsidRPr="007C262A">
        <w:rPr>
          <w:rFonts w:ascii="Times New Roman" w:eastAsia="Times New Roman" w:hAnsi="Times New Roman" w:cs="Times New Roman"/>
          <w:sz w:val="20"/>
          <w:szCs w:val="20"/>
        </w:rPr>
        <w:t xml:space="preserve"> environmental and corporate governance disclosures on firm value Evidence from Egypt. </w:t>
      </w:r>
      <w:r w:rsidR="0056450E" w:rsidRPr="007C262A">
        <w:rPr>
          <w:rFonts w:ascii="Times New Roman" w:eastAsia="Times New Roman" w:hAnsi="Times New Roman" w:cs="Times New Roman"/>
          <w:i/>
          <w:sz w:val="20"/>
          <w:szCs w:val="20"/>
        </w:rPr>
        <w:t>Journal of Accounting in Emerging Economies, 8</w:t>
      </w:r>
      <w:r w:rsidR="0056450E" w:rsidRPr="007C262A">
        <w:rPr>
          <w:rFonts w:ascii="Times New Roman" w:eastAsia="Times New Roman" w:hAnsi="Times New Roman" w:cs="Times New Roman"/>
          <w:sz w:val="20"/>
          <w:szCs w:val="20"/>
        </w:rPr>
        <w:t>(4), 442-458, https://doi.org/10.1108/JAEE-08-2017-0079</w:t>
      </w:r>
    </w:p>
    <w:p w:rsidR="00D3058A" w:rsidRPr="007C262A" w:rsidRDefault="007C262A" w:rsidP="007C262A">
      <w:pPr>
        <w:spacing w:after="0" w:line="240" w:lineRule="auto"/>
        <w:ind w:left="270" w:hanging="27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[2] </w:t>
      </w:r>
      <w:proofErr w:type="spellStart"/>
      <w:r w:rsidR="0056450E" w:rsidRPr="007C262A">
        <w:rPr>
          <w:rFonts w:ascii="Times New Roman" w:eastAsia="Times New Roman" w:hAnsi="Times New Roman" w:cs="Times New Roman"/>
          <w:sz w:val="20"/>
          <w:szCs w:val="20"/>
        </w:rPr>
        <w:t>Aktan</w:t>
      </w:r>
      <w:proofErr w:type="spellEnd"/>
      <w:r w:rsidR="0056450E" w:rsidRPr="007C262A">
        <w:rPr>
          <w:rFonts w:ascii="Times New Roman" w:eastAsia="Times New Roman" w:hAnsi="Times New Roman" w:cs="Times New Roman"/>
          <w:sz w:val="20"/>
          <w:szCs w:val="20"/>
        </w:rPr>
        <w:t xml:space="preserve">, C., </w:t>
      </w:r>
      <w:proofErr w:type="spellStart"/>
      <w:r w:rsidR="0056450E" w:rsidRPr="007C262A">
        <w:rPr>
          <w:rFonts w:ascii="Times New Roman" w:eastAsia="Times New Roman" w:hAnsi="Times New Roman" w:cs="Times New Roman"/>
          <w:sz w:val="20"/>
          <w:szCs w:val="20"/>
        </w:rPr>
        <w:t>Sahin</w:t>
      </w:r>
      <w:proofErr w:type="spellEnd"/>
      <w:r w:rsidR="0056450E" w:rsidRPr="007C262A">
        <w:rPr>
          <w:rFonts w:ascii="Times New Roman" w:eastAsia="Times New Roman" w:hAnsi="Times New Roman" w:cs="Times New Roman"/>
          <w:sz w:val="20"/>
          <w:szCs w:val="20"/>
        </w:rPr>
        <w:t xml:space="preserve">, E. &amp; </w:t>
      </w:r>
      <w:proofErr w:type="spellStart"/>
      <w:r w:rsidR="0056450E" w:rsidRPr="007C262A">
        <w:rPr>
          <w:rFonts w:ascii="Times New Roman" w:eastAsia="Times New Roman" w:hAnsi="Times New Roman" w:cs="Times New Roman"/>
          <w:sz w:val="20"/>
          <w:szCs w:val="20"/>
        </w:rPr>
        <w:t>Kucukkaplan</w:t>
      </w:r>
      <w:proofErr w:type="spellEnd"/>
      <w:r w:rsidR="0056450E" w:rsidRPr="007C262A">
        <w:rPr>
          <w:rFonts w:ascii="Times New Roman" w:eastAsia="Times New Roman" w:hAnsi="Times New Roman" w:cs="Times New Roman"/>
          <w:sz w:val="20"/>
          <w:szCs w:val="20"/>
        </w:rPr>
        <w:t xml:space="preserve">, I. (2018). </w:t>
      </w:r>
      <w:proofErr w:type="gramStart"/>
      <w:r w:rsidR="0056450E" w:rsidRPr="007C262A">
        <w:rPr>
          <w:rFonts w:ascii="Times New Roman" w:eastAsia="Times New Roman" w:hAnsi="Times New Roman" w:cs="Times New Roman"/>
          <w:sz w:val="20"/>
          <w:szCs w:val="20"/>
        </w:rPr>
        <w:t>Testing the information efficiency in emergency markets.</w:t>
      </w:r>
      <w:proofErr w:type="gramEnd"/>
      <w:r w:rsidR="0056450E" w:rsidRPr="007C262A">
        <w:rPr>
          <w:rFonts w:ascii="Times New Roman" w:eastAsia="Times New Roman" w:hAnsi="Times New Roman" w:cs="Times New Roman"/>
          <w:sz w:val="20"/>
          <w:szCs w:val="20"/>
        </w:rPr>
        <w:t xml:space="preserve"> </w:t>
      </w:r>
      <w:hyperlink r:id="rId9" w:history="1">
        <w:r w:rsidRPr="007C262A">
          <w:rPr>
            <w:rStyle w:val="Hyperlink"/>
            <w:rFonts w:ascii="Times New Roman" w:eastAsia="Times New Roman" w:hAnsi="Times New Roman" w:cs="Times New Roman"/>
            <w:sz w:val="20"/>
            <w:szCs w:val="20"/>
          </w:rPr>
          <w:t>http://dx.doi.org/10.5772/intechopen.70369</w:t>
        </w:r>
      </w:hyperlink>
      <w:r w:rsidR="0056450E" w:rsidRPr="007C262A">
        <w:rPr>
          <w:rFonts w:ascii="Times New Roman" w:eastAsia="Times New Roman" w:hAnsi="Times New Roman" w:cs="Times New Roman"/>
          <w:sz w:val="20"/>
          <w:szCs w:val="20"/>
        </w:rPr>
        <w:t>, 49-67</w:t>
      </w:r>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[3] </w:t>
      </w:r>
      <w:proofErr w:type="spellStart"/>
      <w:r w:rsidR="0056450E" w:rsidRPr="007C262A">
        <w:rPr>
          <w:rFonts w:ascii="Times New Roman" w:eastAsia="Times New Roman" w:hAnsi="Times New Roman" w:cs="Times New Roman"/>
          <w:sz w:val="20"/>
          <w:szCs w:val="20"/>
        </w:rPr>
        <w:t>Ambarwati</w:t>
      </w:r>
      <w:proofErr w:type="spellEnd"/>
      <w:r w:rsidR="0056450E" w:rsidRPr="007C262A">
        <w:rPr>
          <w:rFonts w:ascii="Times New Roman" w:eastAsia="Times New Roman" w:hAnsi="Times New Roman" w:cs="Times New Roman"/>
          <w:sz w:val="20"/>
          <w:szCs w:val="20"/>
        </w:rPr>
        <w:t xml:space="preserve">, L. A., &amp; Dara, S. R. (2022). The Effect of Leverage, GCG, Profitability on Stock Prices in the Food &amp; Beverage Sector on the IDX for the 2015-2018 Period. </w:t>
      </w:r>
      <w:proofErr w:type="spellStart"/>
      <w:r w:rsidR="0056450E" w:rsidRPr="007C262A">
        <w:rPr>
          <w:rFonts w:ascii="Times New Roman" w:eastAsia="Times New Roman" w:hAnsi="Times New Roman" w:cs="Times New Roman"/>
          <w:i/>
          <w:sz w:val="20"/>
          <w:szCs w:val="20"/>
        </w:rPr>
        <w:t>Kalbisiana</w:t>
      </w:r>
      <w:proofErr w:type="spellEnd"/>
      <w:r w:rsidR="0056450E" w:rsidRPr="007C262A">
        <w:rPr>
          <w:rFonts w:ascii="Times New Roman" w:eastAsia="Times New Roman" w:hAnsi="Times New Roman" w:cs="Times New Roman"/>
          <w:i/>
          <w:sz w:val="20"/>
          <w:szCs w:val="20"/>
        </w:rPr>
        <w:t xml:space="preserve"> </w:t>
      </w:r>
      <w:proofErr w:type="spellStart"/>
      <w:r w:rsidR="0056450E" w:rsidRPr="007C262A">
        <w:rPr>
          <w:rFonts w:ascii="Times New Roman" w:eastAsia="Times New Roman" w:hAnsi="Times New Roman" w:cs="Times New Roman"/>
          <w:i/>
          <w:sz w:val="20"/>
          <w:szCs w:val="20"/>
        </w:rPr>
        <w:t>Jurnal</w:t>
      </w:r>
      <w:proofErr w:type="spellEnd"/>
      <w:r w:rsidR="0056450E" w:rsidRPr="007C262A">
        <w:rPr>
          <w:rFonts w:ascii="Times New Roman" w:eastAsia="Times New Roman" w:hAnsi="Times New Roman" w:cs="Times New Roman"/>
          <w:i/>
          <w:sz w:val="20"/>
          <w:szCs w:val="20"/>
        </w:rPr>
        <w:t xml:space="preserve"> </w:t>
      </w:r>
      <w:proofErr w:type="spellStart"/>
      <w:r w:rsidR="0056450E" w:rsidRPr="007C262A">
        <w:rPr>
          <w:rFonts w:ascii="Times New Roman" w:eastAsia="Times New Roman" w:hAnsi="Times New Roman" w:cs="Times New Roman"/>
          <w:i/>
          <w:sz w:val="20"/>
          <w:szCs w:val="20"/>
        </w:rPr>
        <w:t>Sains</w:t>
      </w:r>
      <w:proofErr w:type="spellEnd"/>
      <w:r w:rsidR="0056450E" w:rsidRPr="007C262A">
        <w:rPr>
          <w:rFonts w:ascii="Times New Roman" w:eastAsia="Times New Roman" w:hAnsi="Times New Roman" w:cs="Times New Roman"/>
          <w:i/>
          <w:sz w:val="20"/>
          <w:szCs w:val="20"/>
        </w:rPr>
        <w:t xml:space="preserve">, </w:t>
      </w:r>
      <w:proofErr w:type="spellStart"/>
      <w:r w:rsidR="0056450E" w:rsidRPr="007C262A">
        <w:rPr>
          <w:rFonts w:ascii="Times New Roman" w:eastAsia="Times New Roman" w:hAnsi="Times New Roman" w:cs="Times New Roman"/>
          <w:i/>
          <w:sz w:val="20"/>
          <w:szCs w:val="20"/>
        </w:rPr>
        <w:t>Bisnis</w:t>
      </w:r>
      <w:proofErr w:type="spellEnd"/>
      <w:r w:rsidR="0056450E" w:rsidRPr="007C262A">
        <w:rPr>
          <w:rFonts w:ascii="Times New Roman" w:eastAsia="Times New Roman" w:hAnsi="Times New Roman" w:cs="Times New Roman"/>
          <w:i/>
          <w:sz w:val="20"/>
          <w:szCs w:val="20"/>
        </w:rPr>
        <w:t xml:space="preserve"> </w:t>
      </w:r>
      <w:proofErr w:type="spellStart"/>
      <w:r w:rsidR="0056450E" w:rsidRPr="007C262A">
        <w:rPr>
          <w:rFonts w:ascii="Times New Roman" w:eastAsia="Times New Roman" w:hAnsi="Times New Roman" w:cs="Times New Roman"/>
          <w:i/>
          <w:sz w:val="20"/>
          <w:szCs w:val="20"/>
        </w:rPr>
        <w:t>dan</w:t>
      </w:r>
      <w:proofErr w:type="spellEnd"/>
      <w:r w:rsidR="0056450E" w:rsidRPr="007C262A">
        <w:rPr>
          <w:rFonts w:ascii="Times New Roman" w:eastAsia="Times New Roman" w:hAnsi="Times New Roman" w:cs="Times New Roman"/>
          <w:i/>
          <w:sz w:val="20"/>
          <w:szCs w:val="20"/>
        </w:rPr>
        <w:t xml:space="preserve"> </w:t>
      </w:r>
      <w:proofErr w:type="spellStart"/>
      <w:r w:rsidR="0056450E" w:rsidRPr="007C262A">
        <w:rPr>
          <w:rFonts w:ascii="Times New Roman" w:eastAsia="Times New Roman" w:hAnsi="Times New Roman" w:cs="Times New Roman"/>
          <w:i/>
          <w:sz w:val="20"/>
          <w:szCs w:val="20"/>
        </w:rPr>
        <w:t>Teknologi</w:t>
      </w:r>
      <w:proofErr w:type="spellEnd"/>
      <w:r w:rsidR="0056450E" w:rsidRPr="007C262A">
        <w:rPr>
          <w:rFonts w:ascii="Times New Roman" w:eastAsia="Times New Roman" w:hAnsi="Times New Roman" w:cs="Times New Roman"/>
          <w:sz w:val="20"/>
          <w:szCs w:val="20"/>
        </w:rPr>
        <w:t xml:space="preserve">, 8(2), 1372-1381. </w:t>
      </w:r>
      <w:hyperlink r:id="rId10">
        <w:r w:rsidR="0056450E" w:rsidRPr="007C262A">
          <w:rPr>
            <w:rFonts w:ascii="Times New Roman" w:eastAsia="Times New Roman" w:hAnsi="Times New Roman" w:cs="Times New Roman"/>
            <w:color w:val="000000"/>
            <w:sz w:val="20"/>
            <w:szCs w:val="20"/>
            <w:u w:val="single"/>
          </w:rPr>
          <w:t>http://ojs.kalbis.ac.id/index.php/kalbisiana/article/view/385/298</w:t>
        </w:r>
      </w:hyperlink>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[4] </w:t>
      </w:r>
      <w:proofErr w:type="spellStart"/>
      <w:r w:rsidR="0056450E" w:rsidRPr="007C262A">
        <w:rPr>
          <w:rFonts w:ascii="Times New Roman" w:eastAsia="Times New Roman" w:hAnsi="Times New Roman" w:cs="Times New Roman"/>
          <w:sz w:val="20"/>
          <w:szCs w:val="20"/>
        </w:rPr>
        <w:t>Arif</w:t>
      </w:r>
      <w:proofErr w:type="spellEnd"/>
      <w:r w:rsidR="0056450E" w:rsidRPr="007C262A">
        <w:rPr>
          <w:rFonts w:ascii="Times New Roman" w:eastAsia="Times New Roman" w:hAnsi="Times New Roman" w:cs="Times New Roman"/>
          <w:sz w:val="20"/>
          <w:szCs w:val="20"/>
        </w:rPr>
        <w:t xml:space="preserve">, M., </w:t>
      </w:r>
      <w:proofErr w:type="spellStart"/>
      <w:r w:rsidR="0056450E" w:rsidRPr="007C262A">
        <w:rPr>
          <w:rFonts w:ascii="Times New Roman" w:eastAsia="Times New Roman" w:hAnsi="Times New Roman" w:cs="Times New Roman"/>
          <w:sz w:val="20"/>
          <w:szCs w:val="20"/>
        </w:rPr>
        <w:t>Gan</w:t>
      </w:r>
      <w:proofErr w:type="spellEnd"/>
      <w:r w:rsidR="0056450E" w:rsidRPr="007C262A">
        <w:rPr>
          <w:rFonts w:ascii="Times New Roman" w:eastAsia="Times New Roman" w:hAnsi="Times New Roman" w:cs="Times New Roman"/>
          <w:sz w:val="20"/>
          <w:szCs w:val="20"/>
        </w:rPr>
        <w:t xml:space="preserve">, C. &amp; Nadeem, M. (2022). Regulating non-financial reporting: Evidence from European firms’ </w:t>
      </w:r>
      <w:proofErr w:type="spellStart"/>
      <w:r w:rsidR="0056450E" w:rsidRPr="007C262A">
        <w:rPr>
          <w:rFonts w:ascii="Times New Roman" w:eastAsia="Times New Roman" w:hAnsi="Times New Roman" w:cs="Times New Roman"/>
          <w:sz w:val="20"/>
          <w:szCs w:val="20"/>
        </w:rPr>
        <w:t>environmenta</w:t>
      </w:r>
      <w:proofErr w:type="spellEnd"/>
      <w:r w:rsidR="0056450E" w:rsidRPr="007C262A">
        <w:rPr>
          <w:rFonts w:ascii="Times New Roman" w:eastAsia="Times New Roman" w:hAnsi="Times New Roman" w:cs="Times New Roman"/>
          <w:sz w:val="20"/>
          <w:szCs w:val="20"/>
        </w:rPr>
        <w:t xml:space="preserve">, social and governance disclosures and earnings risk”. </w:t>
      </w:r>
      <w:proofErr w:type="spellStart"/>
      <w:r w:rsidR="0056450E" w:rsidRPr="007C262A">
        <w:rPr>
          <w:rFonts w:ascii="Times New Roman" w:eastAsia="Times New Roman" w:hAnsi="Times New Roman" w:cs="Times New Roman"/>
          <w:i/>
          <w:sz w:val="20"/>
          <w:szCs w:val="20"/>
        </w:rPr>
        <w:t>Meditari</w:t>
      </w:r>
      <w:proofErr w:type="spellEnd"/>
      <w:r w:rsidR="0056450E" w:rsidRPr="007C262A">
        <w:rPr>
          <w:rFonts w:ascii="Times New Roman" w:eastAsia="Times New Roman" w:hAnsi="Times New Roman" w:cs="Times New Roman"/>
          <w:i/>
          <w:sz w:val="20"/>
          <w:szCs w:val="20"/>
        </w:rPr>
        <w:t xml:space="preserve"> Accountancy Research</w:t>
      </w:r>
      <w:r w:rsidR="0056450E" w:rsidRPr="007C262A">
        <w:rPr>
          <w:rFonts w:ascii="Times New Roman" w:eastAsia="Times New Roman" w:hAnsi="Times New Roman" w:cs="Times New Roman"/>
          <w:sz w:val="20"/>
          <w:szCs w:val="20"/>
        </w:rPr>
        <w:t xml:space="preserve">, 30(3): 495-523; </w:t>
      </w:r>
      <w:hyperlink r:id="rId11">
        <w:r w:rsidR="0056450E" w:rsidRPr="007C262A">
          <w:rPr>
            <w:rFonts w:ascii="Times New Roman" w:eastAsia="Times New Roman" w:hAnsi="Times New Roman" w:cs="Times New Roman"/>
            <w:color w:val="000000"/>
            <w:sz w:val="20"/>
            <w:szCs w:val="20"/>
            <w:u w:val="single"/>
          </w:rPr>
          <w:t>https://doi.org/10.1108/MEDAR-11-2020-1086</w:t>
        </w:r>
      </w:hyperlink>
    </w:p>
    <w:p w:rsidR="00D3058A" w:rsidRPr="007C262A" w:rsidRDefault="007C262A" w:rsidP="007C262A">
      <w:pPr>
        <w:spacing w:after="0" w:line="240" w:lineRule="auto"/>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[5] </w:t>
      </w:r>
      <w:proofErr w:type="spellStart"/>
      <w:r w:rsidR="0056450E" w:rsidRPr="007C262A">
        <w:rPr>
          <w:rFonts w:ascii="Times New Roman" w:eastAsia="Times New Roman" w:hAnsi="Times New Roman" w:cs="Times New Roman"/>
          <w:sz w:val="20"/>
          <w:szCs w:val="20"/>
        </w:rPr>
        <w:t>Bodie</w:t>
      </w:r>
      <w:proofErr w:type="spellEnd"/>
      <w:r w:rsidR="0056450E" w:rsidRPr="007C262A">
        <w:rPr>
          <w:rFonts w:ascii="Times New Roman" w:eastAsia="Times New Roman" w:hAnsi="Times New Roman" w:cs="Times New Roman"/>
          <w:sz w:val="20"/>
          <w:szCs w:val="20"/>
        </w:rPr>
        <w:t xml:space="preserve"> Z, Kane A, Marcus A. (2003). </w:t>
      </w:r>
      <w:proofErr w:type="gramStart"/>
      <w:r w:rsidR="0056450E" w:rsidRPr="007C262A">
        <w:rPr>
          <w:rFonts w:ascii="Times New Roman" w:eastAsia="Times New Roman" w:hAnsi="Times New Roman" w:cs="Times New Roman"/>
          <w:i/>
          <w:sz w:val="20"/>
          <w:szCs w:val="20"/>
        </w:rPr>
        <w:t>Investments</w:t>
      </w:r>
      <w:r w:rsidR="0056450E" w:rsidRPr="007C262A">
        <w:rPr>
          <w:rFonts w:ascii="Times New Roman" w:eastAsia="Times New Roman" w:hAnsi="Times New Roman" w:cs="Times New Roman"/>
          <w:sz w:val="20"/>
          <w:szCs w:val="20"/>
        </w:rPr>
        <w:t>.</w:t>
      </w:r>
      <w:proofErr w:type="gramEnd"/>
      <w:r w:rsidR="0056450E" w:rsidRPr="007C262A">
        <w:rPr>
          <w:rFonts w:ascii="Times New Roman" w:eastAsia="Times New Roman" w:hAnsi="Times New Roman" w:cs="Times New Roman"/>
          <w:sz w:val="20"/>
          <w:szCs w:val="20"/>
        </w:rPr>
        <w:t xml:space="preserve"> </w:t>
      </w:r>
      <w:proofErr w:type="gramStart"/>
      <w:r w:rsidR="0056450E" w:rsidRPr="007C262A">
        <w:rPr>
          <w:rFonts w:ascii="Times New Roman" w:eastAsia="Times New Roman" w:hAnsi="Times New Roman" w:cs="Times New Roman"/>
          <w:sz w:val="20"/>
          <w:szCs w:val="20"/>
        </w:rPr>
        <w:t>5th ed. McGraw Hill; Irvin, United States.</w:t>
      </w:r>
      <w:proofErr w:type="gramEnd"/>
    </w:p>
    <w:p w:rsidR="00D3058A" w:rsidRPr="007C262A" w:rsidRDefault="007C262A" w:rsidP="007C262A">
      <w:pPr>
        <w:spacing w:after="0" w:line="240" w:lineRule="auto"/>
        <w:ind w:left="270" w:hanging="27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[6] </w:t>
      </w:r>
      <w:r w:rsidR="0056450E" w:rsidRPr="007C262A">
        <w:rPr>
          <w:rFonts w:ascii="Times New Roman" w:eastAsia="Times New Roman" w:hAnsi="Times New Roman" w:cs="Times New Roman"/>
          <w:sz w:val="20"/>
          <w:szCs w:val="20"/>
        </w:rPr>
        <w:t>Cater, J., James, K., Kidwell, R., Camp, K. &amp; Young, M. (2019). HRM practices and e</w:t>
      </w:r>
      <w:r w:rsidR="0056450E" w:rsidRPr="007C262A">
        <w:rPr>
          <w:rFonts w:ascii="Cambria Math" w:eastAsia="Cambria Math" w:hAnsi="Cambria Math" w:cs="Cambria Math"/>
          <w:sz w:val="20"/>
          <w:szCs w:val="20"/>
        </w:rPr>
        <w:t>ﬀ</w:t>
      </w:r>
      <w:r w:rsidR="0056450E" w:rsidRPr="007C262A">
        <w:rPr>
          <w:rFonts w:ascii="Times New Roman" w:eastAsia="Times New Roman" w:hAnsi="Times New Roman" w:cs="Times New Roman"/>
          <w:sz w:val="20"/>
          <w:szCs w:val="20"/>
        </w:rPr>
        <w:t xml:space="preserve">ectiveness: a comparison of US Hispanic and non-Hispanic family ﬁrms. </w:t>
      </w:r>
      <w:r w:rsidR="0056450E" w:rsidRPr="007C262A">
        <w:rPr>
          <w:rFonts w:ascii="Times New Roman" w:eastAsia="Times New Roman" w:hAnsi="Times New Roman" w:cs="Times New Roman"/>
          <w:i/>
          <w:sz w:val="20"/>
          <w:szCs w:val="20"/>
        </w:rPr>
        <w:t>Journal of Small Business and Enterprise Development</w:t>
      </w:r>
      <w:r w:rsidR="0056450E" w:rsidRPr="007C262A">
        <w:rPr>
          <w:rFonts w:ascii="Times New Roman" w:eastAsia="Times New Roman" w:hAnsi="Times New Roman" w:cs="Times New Roman"/>
          <w:sz w:val="20"/>
          <w:szCs w:val="20"/>
        </w:rPr>
        <w:t>, 26(5): 726–746.</w:t>
      </w:r>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[7] </w:t>
      </w:r>
      <w:r w:rsidR="0056450E" w:rsidRPr="007C262A">
        <w:rPr>
          <w:rFonts w:ascii="Times New Roman" w:eastAsia="Times New Roman" w:hAnsi="Times New Roman" w:cs="Times New Roman"/>
          <w:sz w:val="20"/>
          <w:szCs w:val="20"/>
        </w:rPr>
        <w:t xml:space="preserve">Chrisman, JJ (2019). Stewardship Theory: Realism, Relevance, and Family Firm Governance. </w:t>
      </w:r>
      <w:r w:rsidR="0056450E" w:rsidRPr="007C262A">
        <w:rPr>
          <w:rFonts w:ascii="Times New Roman" w:eastAsia="Times New Roman" w:hAnsi="Times New Roman" w:cs="Times New Roman"/>
          <w:i/>
          <w:sz w:val="20"/>
          <w:szCs w:val="20"/>
        </w:rPr>
        <w:t>Entrepreneurship: Theory and Practice,</w:t>
      </w:r>
      <w:r w:rsidR="0056450E" w:rsidRPr="007C262A">
        <w:rPr>
          <w:rFonts w:ascii="Times New Roman" w:eastAsia="Times New Roman" w:hAnsi="Times New Roman" w:cs="Times New Roman"/>
          <w:sz w:val="20"/>
          <w:szCs w:val="20"/>
        </w:rPr>
        <w:t xml:space="preserve"> 43(6): 1051–1066.</w:t>
      </w:r>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[8] </w:t>
      </w:r>
      <w:r w:rsidR="0056450E" w:rsidRPr="007C262A">
        <w:rPr>
          <w:rFonts w:ascii="Times New Roman" w:eastAsia="Times New Roman" w:hAnsi="Times New Roman" w:cs="Times New Roman"/>
          <w:sz w:val="20"/>
          <w:szCs w:val="20"/>
        </w:rPr>
        <w:t xml:space="preserve">Clark, G. L., </w:t>
      </w:r>
      <w:proofErr w:type="spellStart"/>
      <w:r w:rsidR="0056450E" w:rsidRPr="007C262A">
        <w:rPr>
          <w:rFonts w:ascii="Times New Roman" w:eastAsia="Times New Roman" w:hAnsi="Times New Roman" w:cs="Times New Roman"/>
          <w:sz w:val="20"/>
          <w:szCs w:val="20"/>
        </w:rPr>
        <w:t>Feiner</w:t>
      </w:r>
      <w:proofErr w:type="spellEnd"/>
      <w:r w:rsidR="0056450E" w:rsidRPr="007C262A">
        <w:rPr>
          <w:rFonts w:ascii="Times New Roman" w:eastAsia="Times New Roman" w:hAnsi="Times New Roman" w:cs="Times New Roman"/>
          <w:sz w:val="20"/>
          <w:szCs w:val="20"/>
        </w:rPr>
        <w:t xml:space="preserve">, A., &amp; </w:t>
      </w:r>
      <w:proofErr w:type="spellStart"/>
      <w:r w:rsidR="0056450E" w:rsidRPr="007C262A">
        <w:rPr>
          <w:rFonts w:ascii="Times New Roman" w:eastAsia="Times New Roman" w:hAnsi="Times New Roman" w:cs="Times New Roman"/>
          <w:sz w:val="20"/>
          <w:szCs w:val="20"/>
        </w:rPr>
        <w:t>Viehs</w:t>
      </w:r>
      <w:proofErr w:type="spellEnd"/>
      <w:r w:rsidR="0056450E" w:rsidRPr="007C262A">
        <w:rPr>
          <w:rFonts w:ascii="Times New Roman" w:eastAsia="Times New Roman" w:hAnsi="Times New Roman" w:cs="Times New Roman"/>
          <w:sz w:val="20"/>
          <w:szCs w:val="20"/>
        </w:rPr>
        <w:t xml:space="preserve">, M. (2014). From the Stockholder to the Stakeholder: How Sustainability Can Drive Financial Outperformance. </w:t>
      </w:r>
      <w:proofErr w:type="gramStart"/>
      <w:r w:rsidR="0056450E" w:rsidRPr="007C262A">
        <w:rPr>
          <w:rFonts w:ascii="Times New Roman" w:eastAsia="Times New Roman" w:hAnsi="Times New Roman" w:cs="Times New Roman"/>
          <w:sz w:val="20"/>
          <w:szCs w:val="20"/>
        </w:rPr>
        <w:t>Available at SSRN 2508281.</w:t>
      </w:r>
      <w:proofErr w:type="gramEnd"/>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[9] </w:t>
      </w:r>
      <w:proofErr w:type="spellStart"/>
      <w:r w:rsidR="0056450E" w:rsidRPr="007C262A">
        <w:rPr>
          <w:rFonts w:ascii="Times New Roman" w:eastAsia="Times New Roman" w:hAnsi="Times New Roman" w:cs="Times New Roman"/>
          <w:sz w:val="20"/>
          <w:szCs w:val="20"/>
        </w:rPr>
        <w:t>Cordazzo</w:t>
      </w:r>
      <w:proofErr w:type="spellEnd"/>
      <w:r w:rsidR="0056450E" w:rsidRPr="007C262A">
        <w:rPr>
          <w:rFonts w:ascii="Times New Roman" w:eastAsia="Times New Roman" w:hAnsi="Times New Roman" w:cs="Times New Roman"/>
          <w:sz w:val="20"/>
          <w:szCs w:val="20"/>
        </w:rPr>
        <w:t xml:space="preserve">, M., Bini, L., &amp; </w:t>
      </w:r>
      <w:proofErr w:type="spellStart"/>
      <w:r w:rsidR="0056450E" w:rsidRPr="007C262A">
        <w:rPr>
          <w:rFonts w:ascii="Times New Roman" w:eastAsia="Times New Roman" w:hAnsi="Times New Roman" w:cs="Times New Roman"/>
          <w:sz w:val="20"/>
          <w:szCs w:val="20"/>
        </w:rPr>
        <w:t>Marzo</w:t>
      </w:r>
      <w:proofErr w:type="spellEnd"/>
      <w:r w:rsidR="0056450E" w:rsidRPr="007C262A">
        <w:rPr>
          <w:rFonts w:ascii="Times New Roman" w:eastAsia="Times New Roman" w:hAnsi="Times New Roman" w:cs="Times New Roman"/>
          <w:sz w:val="20"/>
          <w:szCs w:val="20"/>
        </w:rPr>
        <w:t xml:space="preserve">, G. (2020). Does the EU Directive on non-financial information influence the value relevance of ESG disclosure ? </w:t>
      </w:r>
      <w:proofErr w:type="gramStart"/>
      <w:r w:rsidR="0056450E" w:rsidRPr="007C262A">
        <w:rPr>
          <w:rFonts w:ascii="Times New Roman" w:eastAsia="Times New Roman" w:hAnsi="Times New Roman" w:cs="Times New Roman"/>
          <w:sz w:val="20"/>
          <w:szCs w:val="20"/>
        </w:rPr>
        <w:t>Italian evidence.</w:t>
      </w:r>
      <w:proofErr w:type="gramEnd"/>
      <w:r w:rsidR="0056450E" w:rsidRPr="007C262A">
        <w:rPr>
          <w:rFonts w:ascii="Times New Roman" w:eastAsia="Times New Roman" w:hAnsi="Times New Roman" w:cs="Times New Roman"/>
          <w:sz w:val="20"/>
          <w:szCs w:val="20"/>
        </w:rPr>
        <w:t xml:space="preserve"> </w:t>
      </w:r>
      <w:proofErr w:type="gramStart"/>
      <w:r w:rsidR="0056450E" w:rsidRPr="007C262A">
        <w:rPr>
          <w:rFonts w:ascii="Times New Roman" w:eastAsia="Times New Roman" w:hAnsi="Times New Roman" w:cs="Times New Roman"/>
          <w:i/>
          <w:sz w:val="20"/>
          <w:szCs w:val="20"/>
        </w:rPr>
        <w:t>Business strategy and the Environment, 29</w:t>
      </w:r>
      <w:r w:rsidR="0056450E" w:rsidRPr="007C262A">
        <w:rPr>
          <w:rFonts w:ascii="Times New Roman" w:eastAsia="Times New Roman" w:hAnsi="Times New Roman" w:cs="Times New Roman"/>
          <w:sz w:val="20"/>
          <w:szCs w:val="20"/>
        </w:rPr>
        <w:t>(8), 3470-3483.</w:t>
      </w:r>
      <w:proofErr w:type="gramEnd"/>
      <w:r w:rsidR="0056450E" w:rsidRPr="007C262A">
        <w:rPr>
          <w:rFonts w:ascii="Times New Roman" w:eastAsia="Times New Roman" w:hAnsi="Times New Roman" w:cs="Times New Roman"/>
          <w:sz w:val="20"/>
          <w:szCs w:val="20"/>
        </w:rPr>
        <w:t xml:space="preserve"> </w:t>
      </w:r>
      <w:hyperlink r:id="rId12">
        <w:r w:rsidR="0056450E" w:rsidRPr="007C262A">
          <w:rPr>
            <w:rFonts w:ascii="Times New Roman" w:eastAsia="Times New Roman" w:hAnsi="Times New Roman" w:cs="Times New Roman"/>
            <w:color w:val="000000"/>
            <w:sz w:val="20"/>
            <w:szCs w:val="20"/>
            <w:u w:val="single"/>
          </w:rPr>
          <w:t>https://doi.org/10.1002/bse.2589</w:t>
        </w:r>
      </w:hyperlink>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[10] </w:t>
      </w:r>
      <w:proofErr w:type="spellStart"/>
      <w:r w:rsidR="0056450E" w:rsidRPr="007C262A">
        <w:rPr>
          <w:rFonts w:ascii="Times New Roman" w:eastAsia="Times New Roman" w:hAnsi="Times New Roman" w:cs="Times New Roman"/>
          <w:sz w:val="20"/>
          <w:szCs w:val="20"/>
        </w:rPr>
        <w:t>Dewi</w:t>
      </w:r>
      <w:proofErr w:type="spellEnd"/>
      <w:r w:rsidR="0056450E" w:rsidRPr="007C262A">
        <w:rPr>
          <w:rFonts w:ascii="Times New Roman" w:eastAsia="Times New Roman" w:hAnsi="Times New Roman" w:cs="Times New Roman"/>
          <w:sz w:val="20"/>
          <w:szCs w:val="20"/>
        </w:rPr>
        <w:t xml:space="preserve">, R. P., &amp; </w:t>
      </w:r>
      <w:proofErr w:type="spellStart"/>
      <w:r w:rsidR="0056450E" w:rsidRPr="007C262A">
        <w:rPr>
          <w:rFonts w:ascii="Times New Roman" w:eastAsia="Times New Roman" w:hAnsi="Times New Roman" w:cs="Times New Roman"/>
          <w:sz w:val="20"/>
          <w:szCs w:val="20"/>
        </w:rPr>
        <w:t>Handayani</w:t>
      </w:r>
      <w:proofErr w:type="spellEnd"/>
      <w:r w:rsidR="0056450E" w:rsidRPr="007C262A">
        <w:rPr>
          <w:rFonts w:ascii="Times New Roman" w:eastAsia="Times New Roman" w:hAnsi="Times New Roman" w:cs="Times New Roman"/>
          <w:sz w:val="20"/>
          <w:szCs w:val="20"/>
        </w:rPr>
        <w:t xml:space="preserve">, S. R. (2017). The effects of capital structure and good corporate governance on dividend policy and firm value: an empirical research at banks listed in Indonesia Stock Exchange for the Period of 2008-2012. </w:t>
      </w:r>
      <w:r w:rsidR="0056450E" w:rsidRPr="007C262A">
        <w:rPr>
          <w:rFonts w:ascii="Times New Roman" w:eastAsia="Times New Roman" w:hAnsi="Times New Roman" w:cs="Times New Roman"/>
          <w:i/>
          <w:sz w:val="20"/>
          <w:szCs w:val="20"/>
        </w:rPr>
        <w:t>Profit (</w:t>
      </w:r>
      <w:proofErr w:type="spellStart"/>
      <w:r w:rsidR="0056450E" w:rsidRPr="007C262A">
        <w:rPr>
          <w:rFonts w:ascii="Times New Roman" w:eastAsia="Times New Roman" w:hAnsi="Times New Roman" w:cs="Times New Roman"/>
          <w:i/>
          <w:sz w:val="20"/>
          <w:szCs w:val="20"/>
        </w:rPr>
        <w:t>Jurnal</w:t>
      </w:r>
      <w:proofErr w:type="spellEnd"/>
      <w:r w:rsidR="0056450E" w:rsidRPr="007C262A">
        <w:rPr>
          <w:rFonts w:ascii="Times New Roman" w:eastAsia="Times New Roman" w:hAnsi="Times New Roman" w:cs="Times New Roman"/>
          <w:i/>
          <w:sz w:val="20"/>
          <w:szCs w:val="20"/>
        </w:rPr>
        <w:t xml:space="preserve"> </w:t>
      </w:r>
      <w:proofErr w:type="spellStart"/>
      <w:r w:rsidR="0056450E" w:rsidRPr="007C262A">
        <w:rPr>
          <w:rFonts w:ascii="Times New Roman" w:eastAsia="Times New Roman" w:hAnsi="Times New Roman" w:cs="Times New Roman"/>
          <w:i/>
          <w:sz w:val="20"/>
          <w:szCs w:val="20"/>
        </w:rPr>
        <w:t>Administrasibisnis</w:t>
      </w:r>
      <w:proofErr w:type="spellEnd"/>
      <w:r w:rsidR="0056450E" w:rsidRPr="007C262A">
        <w:rPr>
          <w:rFonts w:ascii="Times New Roman" w:eastAsia="Times New Roman" w:hAnsi="Times New Roman" w:cs="Times New Roman"/>
          <w:i/>
          <w:sz w:val="20"/>
          <w:szCs w:val="20"/>
        </w:rPr>
        <w:t>), 9</w:t>
      </w:r>
      <w:r w:rsidR="0056450E" w:rsidRPr="007C262A">
        <w:rPr>
          <w:rFonts w:ascii="Times New Roman" w:eastAsia="Times New Roman" w:hAnsi="Times New Roman" w:cs="Times New Roman"/>
          <w:sz w:val="20"/>
          <w:szCs w:val="20"/>
        </w:rPr>
        <w:t>(2), 51-69.</w:t>
      </w:r>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[11] </w:t>
      </w:r>
      <w:proofErr w:type="spellStart"/>
      <w:r w:rsidR="0056450E" w:rsidRPr="007C262A">
        <w:rPr>
          <w:rFonts w:ascii="Times New Roman" w:eastAsia="Times New Roman" w:hAnsi="Times New Roman" w:cs="Times New Roman"/>
          <w:sz w:val="20"/>
          <w:szCs w:val="20"/>
        </w:rPr>
        <w:t>Fatemi</w:t>
      </w:r>
      <w:proofErr w:type="spellEnd"/>
      <w:r w:rsidR="0056450E" w:rsidRPr="007C262A">
        <w:rPr>
          <w:rFonts w:ascii="Times New Roman" w:eastAsia="Times New Roman" w:hAnsi="Times New Roman" w:cs="Times New Roman"/>
          <w:sz w:val="20"/>
          <w:szCs w:val="20"/>
        </w:rPr>
        <w:t xml:space="preserve">, A., </w:t>
      </w:r>
      <w:proofErr w:type="spellStart"/>
      <w:r w:rsidR="0056450E" w:rsidRPr="007C262A">
        <w:rPr>
          <w:rFonts w:ascii="Times New Roman" w:eastAsia="Times New Roman" w:hAnsi="Times New Roman" w:cs="Times New Roman"/>
          <w:sz w:val="20"/>
          <w:szCs w:val="20"/>
        </w:rPr>
        <w:t>Glaum</w:t>
      </w:r>
      <w:proofErr w:type="spellEnd"/>
      <w:r w:rsidR="0056450E" w:rsidRPr="007C262A">
        <w:rPr>
          <w:rFonts w:ascii="Times New Roman" w:eastAsia="Times New Roman" w:hAnsi="Times New Roman" w:cs="Times New Roman"/>
          <w:sz w:val="20"/>
          <w:szCs w:val="20"/>
        </w:rPr>
        <w:t xml:space="preserve">, M., &amp; Kaiser, S. (2017). ESG performance and firm value: The moderating role of disclosure. </w:t>
      </w:r>
      <w:r w:rsidR="0056450E" w:rsidRPr="007C262A">
        <w:rPr>
          <w:rFonts w:ascii="Times New Roman" w:eastAsia="Times New Roman" w:hAnsi="Times New Roman" w:cs="Times New Roman"/>
          <w:i/>
          <w:sz w:val="20"/>
          <w:szCs w:val="20"/>
        </w:rPr>
        <w:t>Global Finance Journal, 38</w:t>
      </w:r>
      <w:r w:rsidR="0056450E" w:rsidRPr="007C262A">
        <w:rPr>
          <w:rFonts w:ascii="Times New Roman" w:eastAsia="Times New Roman" w:hAnsi="Times New Roman" w:cs="Times New Roman"/>
          <w:sz w:val="20"/>
          <w:szCs w:val="20"/>
        </w:rPr>
        <w:t>,</w:t>
      </w:r>
      <w:r w:rsidR="0056450E" w:rsidRPr="007C262A">
        <w:rPr>
          <w:rFonts w:ascii="Times New Roman" w:eastAsia="Times New Roman" w:hAnsi="Times New Roman" w:cs="Times New Roman"/>
          <w:i/>
          <w:sz w:val="20"/>
          <w:szCs w:val="20"/>
        </w:rPr>
        <w:t xml:space="preserve"> </w:t>
      </w:r>
      <w:r w:rsidR="0056450E" w:rsidRPr="007C262A">
        <w:rPr>
          <w:rFonts w:ascii="Times New Roman" w:eastAsia="Times New Roman" w:hAnsi="Times New Roman" w:cs="Times New Roman"/>
          <w:sz w:val="20"/>
          <w:szCs w:val="20"/>
        </w:rPr>
        <w:t xml:space="preserve">45-64. </w:t>
      </w:r>
      <w:hyperlink r:id="rId13">
        <w:r w:rsidR="0056450E" w:rsidRPr="007C262A">
          <w:rPr>
            <w:rFonts w:ascii="Times New Roman" w:eastAsia="Times New Roman" w:hAnsi="Times New Roman" w:cs="Times New Roman"/>
            <w:color w:val="000000"/>
            <w:sz w:val="20"/>
            <w:szCs w:val="20"/>
            <w:u w:val="single"/>
          </w:rPr>
          <w:t>https://doi.org/10.1016/j.gfj.2017.03.001</w:t>
        </w:r>
      </w:hyperlink>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[12] </w:t>
      </w:r>
      <w:proofErr w:type="spellStart"/>
      <w:r w:rsidR="0056450E" w:rsidRPr="007C262A">
        <w:rPr>
          <w:rFonts w:ascii="Times New Roman" w:eastAsia="Times New Roman" w:hAnsi="Times New Roman" w:cs="Times New Roman"/>
          <w:sz w:val="20"/>
          <w:szCs w:val="20"/>
        </w:rPr>
        <w:t>Gazali</w:t>
      </w:r>
      <w:proofErr w:type="spellEnd"/>
      <w:r w:rsidR="0056450E" w:rsidRPr="007C262A">
        <w:rPr>
          <w:rFonts w:ascii="Times New Roman" w:eastAsia="Times New Roman" w:hAnsi="Times New Roman" w:cs="Times New Roman"/>
          <w:sz w:val="20"/>
          <w:szCs w:val="20"/>
        </w:rPr>
        <w:t xml:space="preserve">, K.A, </w:t>
      </w:r>
      <w:proofErr w:type="spellStart"/>
      <w:r w:rsidR="0056450E" w:rsidRPr="007C262A">
        <w:rPr>
          <w:rFonts w:ascii="Times New Roman" w:eastAsia="Times New Roman" w:hAnsi="Times New Roman" w:cs="Times New Roman"/>
          <w:sz w:val="20"/>
          <w:szCs w:val="20"/>
        </w:rPr>
        <w:t>Aina</w:t>
      </w:r>
      <w:proofErr w:type="spellEnd"/>
      <w:r w:rsidR="0056450E" w:rsidRPr="007C262A">
        <w:rPr>
          <w:rFonts w:ascii="Times New Roman" w:eastAsia="Times New Roman" w:hAnsi="Times New Roman" w:cs="Times New Roman"/>
          <w:sz w:val="20"/>
          <w:szCs w:val="20"/>
        </w:rPr>
        <w:t xml:space="preserve">, M, </w:t>
      </w:r>
      <w:proofErr w:type="spellStart"/>
      <w:r w:rsidR="0056450E" w:rsidRPr="007C262A">
        <w:rPr>
          <w:rFonts w:ascii="Times New Roman" w:eastAsia="Times New Roman" w:hAnsi="Times New Roman" w:cs="Times New Roman"/>
          <w:sz w:val="20"/>
          <w:szCs w:val="20"/>
        </w:rPr>
        <w:t>Bustaram</w:t>
      </w:r>
      <w:proofErr w:type="spellEnd"/>
      <w:r w:rsidR="0056450E" w:rsidRPr="007C262A">
        <w:rPr>
          <w:rFonts w:ascii="Times New Roman" w:eastAsia="Times New Roman" w:hAnsi="Times New Roman" w:cs="Times New Roman"/>
          <w:sz w:val="20"/>
          <w:szCs w:val="20"/>
        </w:rPr>
        <w:t xml:space="preserve">, I, Amar, S., </w:t>
      </w:r>
      <w:proofErr w:type="spellStart"/>
      <w:r w:rsidR="0056450E" w:rsidRPr="007C262A">
        <w:rPr>
          <w:rFonts w:ascii="Times New Roman" w:eastAsia="Times New Roman" w:hAnsi="Times New Roman" w:cs="Times New Roman"/>
          <w:sz w:val="20"/>
          <w:szCs w:val="20"/>
        </w:rPr>
        <w:t>Rusdiyanto</w:t>
      </w:r>
      <w:proofErr w:type="spellEnd"/>
      <w:r w:rsidR="0056450E" w:rsidRPr="007C262A">
        <w:rPr>
          <w:rFonts w:ascii="Times New Roman" w:eastAsia="Times New Roman" w:hAnsi="Times New Roman" w:cs="Times New Roman"/>
          <w:sz w:val="20"/>
          <w:szCs w:val="20"/>
        </w:rPr>
        <w:t xml:space="preserve"> S. &amp; </w:t>
      </w:r>
      <w:proofErr w:type="spellStart"/>
      <w:r w:rsidR="0056450E" w:rsidRPr="007C262A">
        <w:rPr>
          <w:rFonts w:ascii="Times New Roman" w:eastAsia="Times New Roman" w:hAnsi="Times New Roman" w:cs="Times New Roman"/>
          <w:sz w:val="20"/>
          <w:szCs w:val="20"/>
        </w:rPr>
        <w:t>Panjilaksana</w:t>
      </w:r>
      <w:proofErr w:type="spellEnd"/>
      <w:r w:rsidR="0056450E" w:rsidRPr="007C262A">
        <w:rPr>
          <w:rFonts w:ascii="Times New Roman" w:eastAsia="Times New Roman" w:hAnsi="Times New Roman" w:cs="Times New Roman"/>
          <w:sz w:val="20"/>
          <w:szCs w:val="20"/>
        </w:rPr>
        <w:t>, S.D.D. (2020).The E</w:t>
      </w:r>
      <w:r w:rsidR="0056450E" w:rsidRPr="007C262A">
        <w:rPr>
          <w:rFonts w:ascii="Cambria Math" w:eastAsia="Cambria Math" w:hAnsi="Cambria Math" w:cs="Cambria Math"/>
          <w:sz w:val="20"/>
          <w:szCs w:val="20"/>
        </w:rPr>
        <w:t>ﬀ</w:t>
      </w:r>
      <w:r w:rsidR="0056450E" w:rsidRPr="007C262A">
        <w:rPr>
          <w:rFonts w:ascii="Times New Roman" w:eastAsia="Times New Roman" w:hAnsi="Times New Roman" w:cs="Times New Roman"/>
          <w:sz w:val="20"/>
          <w:szCs w:val="20"/>
        </w:rPr>
        <w:t xml:space="preserve">ect of Financial Performance on Stock Prices: a Case Study of Indonesian. </w:t>
      </w:r>
      <w:r w:rsidR="0056450E" w:rsidRPr="007C262A">
        <w:rPr>
          <w:rFonts w:ascii="Times New Roman" w:eastAsia="Times New Roman" w:hAnsi="Times New Roman" w:cs="Times New Roman"/>
          <w:i/>
          <w:sz w:val="20"/>
          <w:szCs w:val="20"/>
        </w:rPr>
        <w:t>Talent Development and Excellence</w:t>
      </w:r>
      <w:r w:rsidR="0056450E" w:rsidRPr="007C262A">
        <w:rPr>
          <w:rFonts w:ascii="Times New Roman" w:eastAsia="Times New Roman" w:hAnsi="Times New Roman" w:cs="Times New Roman"/>
          <w:sz w:val="20"/>
          <w:szCs w:val="20"/>
        </w:rPr>
        <w:t>, 12(1): 4007-4016.</w:t>
      </w:r>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[13] </w:t>
      </w:r>
      <w:r w:rsidR="0056450E" w:rsidRPr="007C262A">
        <w:rPr>
          <w:rFonts w:ascii="Times New Roman" w:eastAsia="Times New Roman" w:hAnsi="Times New Roman" w:cs="Times New Roman"/>
          <w:sz w:val="20"/>
          <w:szCs w:val="20"/>
        </w:rPr>
        <w:t xml:space="preserve">James, P.C. (2023). Does corporate governance score affect stock price? </w:t>
      </w:r>
      <w:proofErr w:type="gramStart"/>
      <w:r w:rsidR="0056450E" w:rsidRPr="007C262A">
        <w:rPr>
          <w:rFonts w:ascii="Times New Roman" w:eastAsia="Times New Roman" w:hAnsi="Times New Roman" w:cs="Times New Roman"/>
          <w:sz w:val="20"/>
          <w:szCs w:val="20"/>
        </w:rPr>
        <w:t>Evidence from a developing country.</w:t>
      </w:r>
      <w:proofErr w:type="gramEnd"/>
      <w:r w:rsidR="0056450E" w:rsidRPr="007C262A">
        <w:rPr>
          <w:rFonts w:ascii="Times New Roman" w:eastAsia="Times New Roman" w:hAnsi="Times New Roman" w:cs="Times New Roman"/>
          <w:sz w:val="20"/>
          <w:szCs w:val="20"/>
        </w:rPr>
        <w:t xml:space="preserve"> </w:t>
      </w:r>
      <w:r w:rsidR="0056450E" w:rsidRPr="007C262A">
        <w:rPr>
          <w:rFonts w:ascii="Times New Roman" w:eastAsia="Times New Roman" w:hAnsi="Times New Roman" w:cs="Times New Roman"/>
          <w:i/>
          <w:sz w:val="20"/>
          <w:szCs w:val="20"/>
        </w:rPr>
        <w:t>International Journal of Business and Social Research</w:t>
      </w:r>
      <w:r w:rsidR="0056450E" w:rsidRPr="007C262A">
        <w:rPr>
          <w:rFonts w:ascii="Times New Roman" w:eastAsia="Times New Roman" w:hAnsi="Times New Roman" w:cs="Times New Roman"/>
          <w:sz w:val="20"/>
          <w:szCs w:val="20"/>
        </w:rPr>
        <w:t xml:space="preserve">, 13(2): 1-10; </w:t>
      </w:r>
      <w:hyperlink r:id="rId14">
        <w:r w:rsidR="0056450E" w:rsidRPr="007C262A">
          <w:rPr>
            <w:rFonts w:ascii="Times New Roman" w:eastAsia="Times New Roman" w:hAnsi="Times New Roman" w:cs="Times New Roman"/>
            <w:color w:val="000000"/>
            <w:sz w:val="20"/>
            <w:szCs w:val="20"/>
            <w:u w:val="single"/>
          </w:rPr>
          <w:t>https://doi.org/10.18533/ijbsr.v13i02.1459</w:t>
        </w:r>
      </w:hyperlink>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[14] </w:t>
      </w:r>
      <w:r w:rsidR="0056450E" w:rsidRPr="007C262A">
        <w:rPr>
          <w:rFonts w:ascii="Times New Roman" w:eastAsia="Times New Roman" w:hAnsi="Times New Roman" w:cs="Times New Roman"/>
          <w:sz w:val="20"/>
          <w:szCs w:val="20"/>
        </w:rPr>
        <w:t xml:space="preserve">Jensen, M.C. &amp; </w:t>
      </w:r>
      <w:proofErr w:type="spellStart"/>
      <w:r w:rsidR="0056450E" w:rsidRPr="007C262A">
        <w:rPr>
          <w:rFonts w:ascii="Times New Roman" w:eastAsia="Times New Roman" w:hAnsi="Times New Roman" w:cs="Times New Roman"/>
          <w:sz w:val="20"/>
          <w:szCs w:val="20"/>
        </w:rPr>
        <w:t>Meckling</w:t>
      </w:r>
      <w:proofErr w:type="spellEnd"/>
      <w:r w:rsidR="0056450E" w:rsidRPr="007C262A">
        <w:rPr>
          <w:rFonts w:ascii="Times New Roman" w:eastAsia="Times New Roman" w:hAnsi="Times New Roman" w:cs="Times New Roman"/>
          <w:sz w:val="20"/>
          <w:szCs w:val="20"/>
        </w:rPr>
        <w:t xml:space="preserve">, W.H. (1976). Theory of the Firm: Managerial Behavior, Agency Cost and Ownership Structure. </w:t>
      </w:r>
      <w:r w:rsidR="0056450E" w:rsidRPr="007C262A">
        <w:rPr>
          <w:rFonts w:ascii="Times New Roman" w:eastAsia="Times New Roman" w:hAnsi="Times New Roman" w:cs="Times New Roman"/>
          <w:i/>
          <w:sz w:val="20"/>
          <w:szCs w:val="20"/>
        </w:rPr>
        <w:t>Journal of Financial Economics</w:t>
      </w:r>
      <w:r w:rsidR="0056450E" w:rsidRPr="007C262A">
        <w:rPr>
          <w:rFonts w:ascii="Times New Roman" w:eastAsia="Times New Roman" w:hAnsi="Times New Roman" w:cs="Times New Roman"/>
          <w:sz w:val="20"/>
          <w:szCs w:val="20"/>
        </w:rPr>
        <w:t>, 3(8): 305–360.</w:t>
      </w:r>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[15] </w:t>
      </w:r>
      <w:proofErr w:type="spellStart"/>
      <w:r w:rsidR="0056450E" w:rsidRPr="007C262A">
        <w:rPr>
          <w:rFonts w:ascii="Times New Roman" w:eastAsia="Times New Roman" w:hAnsi="Times New Roman" w:cs="Times New Roman"/>
          <w:sz w:val="20"/>
          <w:szCs w:val="20"/>
        </w:rPr>
        <w:t>Juanamasta</w:t>
      </w:r>
      <w:proofErr w:type="spellEnd"/>
      <w:r w:rsidR="0056450E" w:rsidRPr="007C262A">
        <w:rPr>
          <w:rFonts w:ascii="Times New Roman" w:eastAsia="Times New Roman" w:hAnsi="Times New Roman" w:cs="Times New Roman"/>
          <w:sz w:val="20"/>
          <w:szCs w:val="20"/>
        </w:rPr>
        <w:t xml:space="preserve">, IG, </w:t>
      </w:r>
      <w:proofErr w:type="spellStart"/>
      <w:r w:rsidR="0056450E" w:rsidRPr="007C262A">
        <w:rPr>
          <w:rFonts w:ascii="Times New Roman" w:eastAsia="Times New Roman" w:hAnsi="Times New Roman" w:cs="Times New Roman"/>
          <w:sz w:val="20"/>
          <w:szCs w:val="20"/>
        </w:rPr>
        <w:t>Wati</w:t>
      </w:r>
      <w:proofErr w:type="spellEnd"/>
      <w:r w:rsidR="0056450E" w:rsidRPr="007C262A">
        <w:rPr>
          <w:rFonts w:ascii="Times New Roman" w:eastAsia="Times New Roman" w:hAnsi="Times New Roman" w:cs="Times New Roman"/>
          <w:sz w:val="20"/>
          <w:szCs w:val="20"/>
        </w:rPr>
        <w:t xml:space="preserve">, NMN, </w:t>
      </w:r>
      <w:proofErr w:type="spellStart"/>
      <w:r w:rsidR="0056450E" w:rsidRPr="007C262A">
        <w:rPr>
          <w:rFonts w:ascii="Times New Roman" w:eastAsia="Times New Roman" w:hAnsi="Times New Roman" w:cs="Times New Roman"/>
          <w:sz w:val="20"/>
          <w:szCs w:val="20"/>
        </w:rPr>
        <w:t>Hendrawati</w:t>
      </w:r>
      <w:proofErr w:type="spellEnd"/>
      <w:r w:rsidR="0056450E" w:rsidRPr="007C262A">
        <w:rPr>
          <w:rFonts w:ascii="Times New Roman" w:eastAsia="Times New Roman" w:hAnsi="Times New Roman" w:cs="Times New Roman"/>
          <w:sz w:val="20"/>
          <w:szCs w:val="20"/>
        </w:rPr>
        <w:t xml:space="preserve">, E, </w:t>
      </w:r>
      <w:proofErr w:type="spellStart"/>
      <w:r w:rsidR="0056450E" w:rsidRPr="007C262A">
        <w:rPr>
          <w:rFonts w:ascii="Times New Roman" w:eastAsia="Times New Roman" w:hAnsi="Times New Roman" w:cs="Times New Roman"/>
          <w:sz w:val="20"/>
          <w:szCs w:val="20"/>
        </w:rPr>
        <w:t>Wahyuni</w:t>
      </w:r>
      <w:proofErr w:type="spellEnd"/>
      <w:r w:rsidR="0056450E" w:rsidRPr="007C262A">
        <w:rPr>
          <w:rFonts w:ascii="Times New Roman" w:eastAsia="Times New Roman" w:hAnsi="Times New Roman" w:cs="Times New Roman"/>
          <w:sz w:val="20"/>
          <w:szCs w:val="20"/>
        </w:rPr>
        <w:t xml:space="preserve">, W, </w:t>
      </w:r>
      <w:proofErr w:type="spellStart"/>
      <w:r w:rsidR="0056450E" w:rsidRPr="007C262A">
        <w:rPr>
          <w:rFonts w:ascii="Times New Roman" w:eastAsia="Times New Roman" w:hAnsi="Times New Roman" w:cs="Times New Roman"/>
          <w:sz w:val="20"/>
          <w:szCs w:val="20"/>
        </w:rPr>
        <w:t>Pramudianti</w:t>
      </w:r>
      <w:proofErr w:type="spellEnd"/>
      <w:r w:rsidR="0056450E" w:rsidRPr="007C262A">
        <w:rPr>
          <w:rFonts w:ascii="Times New Roman" w:eastAsia="Times New Roman" w:hAnsi="Times New Roman" w:cs="Times New Roman"/>
          <w:sz w:val="20"/>
          <w:szCs w:val="20"/>
        </w:rPr>
        <w:t xml:space="preserve">, M, </w:t>
      </w:r>
      <w:proofErr w:type="spellStart"/>
      <w:r w:rsidR="0056450E" w:rsidRPr="007C262A">
        <w:rPr>
          <w:rFonts w:ascii="Times New Roman" w:eastAsia="Times New Roman" w:hAnsi="Times New Roman" w:cs="Times New Roman"/>
          <w:sz w:val="20"/>
          <w:szCs w:val="20"/>
        </w:rPr>
        <w:t>Wisnujati</w:t>
      </w:r>
      <w:proofErr w:type="spellEnd"/>
      <w:r w:rsidR="0056450E" w:rsidRPr="007C262A">
        <w:rPr>
          <w:rFonts w:ascii="Times New Roman" w:eastAsia="Times New Roman" w:hAnsi="Times New Roman" w:cs="Times New Roman"/>
          <w:sz w:val="20"/>
          <w:szCs w:val="20"/>
        </w:rPr>
        <w:t xml:space="preserve">, NS &amp; </w:t>
      </w:r>
      <w:proofErr w:type="spellStart"/>
      <w:r w:rsidR="0056450E" w:rsidRPr="007C262A">
        <w:rPr>
          <w:rFonts w:ascii="Times New Roman" w:eastAsia="Times New Roman" w:hAnsi="Times New Roman" w:cs="Times New Roman"/>
          <w:sz w:val="20"/>
          <w:szCs w:val="20"/>
        </w:rPr>
        <w:t>Umanailo</w:t>
      </w:r>
      <w:proofErr w:type="spellEnd"/>
      <w:r w:rsidR="0056450E" w:rsidRPr="007C262A">
        <w:rPr>
          <w:rFonts w:ascii="Times New Roman" w:eastAsia="Times New Roman" w:hAnsi="Times New Roman" w:cs="Times New Roman"/>
          <w:sz w:val="20"/>
          <w:szCs w:val="20"/>
        </w:rPr>
        <w:t xml:space="preserve">, MCB (2019). </w:t>
      </w:r>
      <w:proofErr w:type="gramStart"/>
      <w:r w:rsidR="0056450E" w:rsidRPr="007C262A">
        <w:rPr>
          <w:rFonts w:ascii="Times New Roman" w:eastAsia="Times New Roman" w:hAnsi="Times New Roman" w:cs="Times New Roman"/>
          <w:sz w:val="20"/>
          <w:szCs w:val="20"/>
        </w:rPr>
        <w:t>The role of customer service through customer relationship management (</w:t>
      </w:r>
      <w:proofErr w:type="spellStart"/>
      <w:r w:rsidR="0056450E" w:rsidRPr="007C262A">
        <w:rPr>
          <w:rFonts w:ascii="Times New Roman" w:eastAsia="Times New Roman" w:hAnsi="Times New Roman" w:cs="Times New Roman"/>
          <w:sz w:val="20"/>
          <w:szCs w:val="20"/>
        </w:rPr>
        <w:t>Crm</w:t>
      </w:r>
      <w:proofErr w:type="spellEnd"/>
      <w:r w:rsidR="0056450E" w:rsidRPr="007C262A">
        <w:rPr>
          <w:rFonts w:ascii="Times New Roman" w:eastAsia="Times New Roman" w:hAnsi="Times New Roman" w:cs="Times New Roman"/>
          <w:sz w:val="20"/>
          <w:szCs w:val="20"/>
        </w:rPr>
        <w:t>) to increase customer loyalty and good image.</w:t>
      </w:r>
      <w:proofErr w:type="gramEnd"/>
      <w:r w:rsidR="0056450E" w:rsidRPr="007C262A">
        <w:rPr>
          <w:rFonts w:ascii="Times New Roman" w:eastAsia="Times New Roman" w:hAnsi="Times New Roman" w:cs="Times New Roman"/>
          <w:sz w:val="20"/>
          <w:szCs w:val="20"/>
        </w:rPr>
        <w:t xml:space="preserve"> </w:t>
      </w:r>
      <w:r w:rsidR="0056450E" w:rsidRPr="007C262A">
        <w:rPr>
          <w:rFonts w:ascii="Times New Roman" w:eastAsia="Times New Roman" w:hAnsi="Times New Roman" w:cs="Times New Roman"/>
          <w:i/>
          <w:sz w:val="20"/>
          <w:szCs w:val="20"/>
        </w:rPr>
        <w:t>International Journal of Scientiﬁc and Technology Research</w:t>
      </w:r>
      <w:r w:rsidR="0056450E" w:rsidRPr="007C262A">
        <w:rPr>
          <w:rFonts w:ascii="Times New Roman" w:eastAsia="Times New Roman" w:hAnsi="Times New Roman" w:cs="Times New Roman"/>
          <w:sz w:val="20"/>
          <w:szCs w:val="20"/>
        </w:rPr>
        <w:t>, 8(10): 2004–2007.</w:t>
      </w:r>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[16] </w:t>
      </w:r>
      <w:r w:rsidR="0056450E" w:rsidRPr="007C262A">
        <w:rPr>
          <w:rFonts w:ascii="Times New Roman" w:eastAsia="Times New Roman" w:hAnsi="Times New Roman" w:cs="Times New Roman"/>
          <w:sz w:val="20"/>
          <w:szCs w:val="20"/>
        </w:rPr>
        <w:t>Li, J., Zhang, Y., Hu, Y, Tao, X., Jiang, W. and Qi, L. (2017). Developed market or developing market</w:t>
      </w:r>
      <w:proofErr w:type="gramStart"/>
      <w:r w:rsidR="0056450E" w:rsidRPr="007C262A">
        <w:rPr>
          <w:rFonts w:ascii="Times New Roman" w:eastAsia="Times New Roman" w:hAnsi="Times New Roman" w:cs="Times New Roman"/>
          <w:sz w:val="20"/>
          <w:szCs w:val="20"/>
        </w:rPr>
        <w:t>?:</w:t>
      </w:r>
      <w:proofErr w:type="gramEnd"/>
      <w:r w:rsidR="0056450E" w:rsidRPr="007C262A">
        <w:rPr>
          <w:rFonts w:ascii="Times New Roman" w:eastAsia="Times New Roman" w:hAnsi="Times New Roman" w:cs="Times New Roman"/>
          <w:sz w:val="20"/>
          <w:szCs w:val="20"/>
        </w:rPr>
        <w:t xml:space="preserve"> A perspective of institutional theory on multinational enterprises' diversification and sustainable development with environmental protection. </w:t>
      </w:r>
      <w:r w:rsidR="0056450E" w:rsidRPr="007C262A">
        <w:rPr>
          <w:rFonts w:ascii="Times New Roman" w:eastAsia="Times New Roman" w:hAnsi="Times New Roman" w:cs="Times New Roman"/>
          <w:i/>
          <w:sz w:val="20"/>
          <w:szCs w:val="20"/>
        </w:rPr>
        <w:t>Business Strategy and Environment</w:t>
      </w:r>
      <w:r w:rsidR="0056450E" w:rsidRPr="007C262A">
        <w:rPr>
          <w:rFonts w:ascii="Times New Roman" w:eastAsia="Times New Roman" w:hAnsi="Times New Roman" w:cs="Times New Roman"/>
          <w:sz w:val="20"/>
          <w:szCs w:val="20"/>
        </w:rPr>
        <w:t xml:space="preserve">, </w:t>
      </w:r>
      <w:r w:rsidR="0056450E" w:rsidRPr="007C262A">
        <w:rPr>
          <w:rFonts w:ascii="Times New Roman" w:eastAsia="Times New Roman" w:hAnsi="Times New Roman" w:cs="Times New Roman"/>
          <w:i/>
          <w:sz w:val="20"/>
          <w:szCs w:val="20"/>
        </w:rPr>
        <w:t>27</w:t>
      </w:r>
      <w:r w:rsidR="0056450E" w:rsidRPr="007C262A">
        <w:rPr>
          <w:rFonts w:ascii="Times New Roman" w:eastAsia="Times New Roman" w:hAnsi="Times New Roman" w:cs="Times New Roman"/>
          <w:sz w:val="20"/>
          <w:szCs w:val="20"/>
        </w:rPr>
        <w:t>(7), 858-871.</w:t>
      </w:r>
    </w:p>
    <w:p w:rsidR="00D3058A" w:rsidRPr="007C262A" w:rsidRDefault="007C262A" w:rsidP="007C262A">
      <w:pPr>
        <w:widowControl w:val="0"/>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[17] </w:t>
      </w:r>
      <w:r w:rsidR="0056450E" w:rsidRPr="007C262A">
        <w:rPr>
          <w:rFonts w:ascii="Times New Roman" w:eastAsia="Times New Roman" w:hAnsi="Times New Roman" w:cs="Times New Roman"/>
          <w:sz w:val="20"/>
          <w:szCs w:val="20"/>
        </w:rPr>
        <w:t xml:space="preserve">Li, Y., Gong, M., Zhang, X., &amp; </w:t>
      </w:r>
      <w:proofErr w:type="spellStart"/>
      <w:r w:rsidR="0056450E" w:rsidRPr="007C262A">
        <w:rPr>
          <w:rFonts w:ascii="Times New Roman" w:eastAsia="Times New Roman" w:hAnsi="Times New Roman" w:cs="Times New Roman"/>
          <w:sz w:val="20"/>
          <w:szCs w:val="20"/>
        </w:rPr>
        <w:t>Koh</w:t>
      </w:r>
      <w:proofErr w:type="spellEnd"/>
      <w:r w:rsidR="0056450E" w:rsidRPr="007C262A">
        <w:rPr>
          <w:rFonts w:ascii="Times New Roman" w:eastAsia="Times New Roman" w:hAnsi="Times New Roman" w:cs="Times New Roman"/>
          <w:sz w:val="20"/>
          <w:szCs w:val="20"/>
        </w:rPr>
        <w:t xml:space="preserve">, L. (2017). The impact of environmental, </w:t>
      </w:r>
      <w:proofErr w:type="gramStart"/>
      <w:r w:rsidR="0056450E" w:rsidRPr="007C262A">
        <w:rPr>
          <w:rFonts w:ascii="Times New Roman" w:eastAsia="Times New Roman" w:hAnsi="Times New Roman" w:cs="Times New Roman"/>
          <w:sz w:val="20"/>
          <w:szCs w:val="20"/>
        </w:rPr>
        <w:t>social,</w:t>
      </w:r>
      <w:proofErr w:type="gramEnd"/>
      <w:r w:rsidR="0056450E" w:rsidRPr="007C262A">
        <w:rPr>
          <w:rFonts w:ascii="Times New Roman" w:eastAsia="Times New Roman" w:hAnsi="Times New Roman" w:cs="Times New Roman"/>
          <w:sz w:val="20"/>
          <w:szCs w:val="20"/>
        </w:rPr>
        <w:t xml:space="preserve"> and governance disclosure on firm value: The role of CEO power. </w:t>
      </w:r>
      <w:r w:rsidR="0056450E" w:rsidRPr="007C262A">
        <w:rPr>
          <w:rFonts w:ascii="Times New Roman" w:eastAsia="Times New Roman" w:hAnsi="Times New Roman" w:cs="Times New Roman"/>
          <w:i/>
          <w:sz w:val="20"/>
          <w:szCs w:val="20"/>
        </w:rPr>
        <w:t>The British Accounting Review, 50</w:t>
      </w:r>
      <w:r w:rsidR="0056450E" w:rsidRPr="007C262A">
        <w:rPr>
          <w:rFonts w:ascii="Times New Roman" w:eastAsia="Times New Roman" w:hAnsi="Times New Roman" w:cs="Times New Roman"/>
          <w:sz w:val="20"/>
          <w:szCs w:val="20"/>
        </w:rPr>
        <w:t>(1), 50-75. https://doi.org/10.1016/j.bar.2017.09.007</w:t>
      </w:r>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[18] </w:t>
      </w:r>
      <w:proofErr w:type="spellStart"/>
      <w:r w:rsidR="0056450E" w:rsidRPr="007C262A">
        <w:rPr>
          <w:rFonts w:ascii="Times New Roman" w:eastAsia="Times New Roman" w:hAnsi="Times New Roman" w:cs="Times New Roman"/>
          <w:sz w:val="20"/>
          <w:szCs w:val="20"/>
        </w:rPr>
        <w:t>Malkiel</w:t>
      </w:r>
      <w:proofErr w:type="spellEnd"/>
      <w:r w:rsidR="0056450E" w:rsidRPr="007C262A">
        <w:rPr>
          <w:rFonts w:ascii="Times New Roman" w:eastAsia="Times New Roman" w:hAnsi="Times New Roman" w:cs="Times New Roman"/>
          <w:sz w:val="20"/>
          <w:szCs w:val="20"/>
        </w:rPr>
        <w:t xml:space="preserve"> BG. (2003). </w:t>
      </w:r>
      <w:proofErr w:type="gramStart"/>
      <w:r w:rsidR="0056450E" w:rsidRPr="007C262A">
        <w:rPr>
          <w:rFonts w:ascii="Times New Roman" w:eastAsia="Times New Roman" w:hAnsi="Times New Roman" w:cs="Times New Roman"/>
          <w:sz w:val="20"/>
          <w:szCs w:val="20"/>
        </w:rPr>
        <w:t>The efficient market hypothesis and its critics.</w:t>
      </w:r>
      <w:proofErr w:type="gramEnd"/>
      <w:r w:rsidR="0056450E" w:rsidRPr="007C262A">
        <w:rPr>
          <w:rFonts w:ascii="Times New Roman" w:eastAsia="Times New Roman" w:hAnsi="Times New Roman" w:cs="Times New Roman"/>
          <w:sz w:val="20"/>
          <w:szCs w:val="20"/>
        </w:rPr>
        <w:t xml:space="preserve"> </w:t>
      </w:r>
      <w:r w:rsidR="0056450E" w:rsidRPr="007C262A">
        <w:rPr>
          <w:rFonts w:ascii="Times New Roman" w:eastAsia="Times New Roman" w:hAnsi="Times New Roman" w:cs="Times New Roman"/>
          <w:i/>
          <w:sz w:val="20"/>
          <w:szCs w:val="20"/>
        </w:rPr>
        <w:t>The Journal of Economic Perspectives</w:t>
      </w:r>
      <w:r w:rsidR="0056450E" w:rsidRPr="007C262A">
        <w:rPr>
          <w:rFonts w:ascii="Times New Roman" w:eastAsia="Times New Roman" w:hAnsi="Times New Roman" w:cs="Times New Roman"/>
          <w:sz w:val="20"/>
          <w:szCs w:val="20"/>
        </w:rPr>
        <w:t>; 17(1):59-82. DOI: 10.1257/089533003321164958</w:t>
      </w:r>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[19] </w:t>
      </w:r>
      <w:proofErr w:type="spellStart"/>
      <w:r w:rsidR="0056450E" w:rsidRPr="007C262A">
        <w:rPr>
          <w:rFonts w:ascii="Times New Roman" w:eastAsia="Times New Roman" w:hAnsi="Times New Roman" w:cs="Times New Roman"/>
          <w:sz w:val="20"/>
          <w:szCs w:val="20"/>
        </w:rPr>
        <w:t>Miralles-Quiros</w:t>
      </w:r>
      <w:proofErr w:type="spellEnd"/>
      <w:r w:rsidR="0056450E" w:rsidRPr="007C262A">
        <w:rPr>
          <w:rFonts w:ascii="Times New Roman" w:eastAsia="Times New Roman" w:hAnsi="Times New Roman" w:cs="Times New Roman"/>
          <w:sz w:val="20"/>
          <w:szCs w:val="20"/>
        </w:rPr>
        <w:t xml:space="preserve">, M., </w:t>
      </w:r>
      <w:proofErr w:type="spellStart"/>
      <w:r w:rsidR="0056450E" w:rsidRPr="007C262A">
        <w:rPr>
          <w:rFonts w:ascii="Times New Roman" w:eastAsia="Times New Roman" w:hAnsi="Times New Roman" w:cs="Times New Roman"/>
          <w:sz w:val="20"/>
          <w:szCs w:val="20"/>
        </w:rPr>
        <w:t>Miralles-Quiros</w:t>
      </w:r>
      <w:proofErr w:type="spellEnd"/>
      <w:r w:rsidR="0056450E" w:rsidRPr="007C262A">
        <w:rPr>
          <w:rFonts w:ascii="Times New Roman" w:eastAsia="Times New Roman" w:hAnsi="Times New Roman" w:cs="Times New Roman"/>
          <w:sz w:val="20"/>
          <w:szCs w:val="20"/>
        </w:rPr>
        <w:t xml:space="preserve">, L., Miguel, L., &amp; </w:t>
      </w:r>
      <w:proofErr w:type="spellStart"/>
      <w:r w:rsidR="0056450E" w:rsidRPr="007C262A">
        <w:rPr>
          <w:rFonts w:ascii="Times New Roman" w:eastAsia="Times New Roman" w:hAnsi="Times New Roman" w:cs="Times New Roman"/>
          <w:sz w:val="20"/>
          <w:szCs w:val="20"/>
        </w:rPr>
        <w:t>Gon</w:t>
      </w:r>
      <w:proofErr w:type="spellEnd"/>
      <w:r w:rsidR="0056450E" w:rsidRPr="007C262A">
        <w:rPr>
          <w:rFonts w:ascii="Times New Roman" w:eastAsia="Times New Roman" w:hAnsi="Times New Roman" w:cs="Times New Roman"/>
          <w:sz w:val="20"/>
          <w:szCs w:val="20"/>
        </w:rPr>
        <w:t xml:space="preserve">, V. (2018). The Value Relevance of </w:t>
      </w:r>
      <w:proofErr w:type="gramStart"/>
      <w:r w:rsidR="0056450E" w:rsidRPr="007C262A">
        <w:rPr>
          <w:rFonts w:ascii="Times New Roman" w:eastAsia="Times New Roman" w:hAnsi="Times New Roman" w:cs="Times New Roman"/>
          <w:sz w:val="20"/>
          <w:szCs w:val="20"/>
        </w:rPr>
        <w:t>Environmental ,</w:t>
      </w:r>
      <w:proofErr w:type="gramEnd"/>
      <w:r w:rsidR="0056450E" w:rsidRPr="007C262A">
        <w:rPr>
          <w:rFonts w:ascii="Times New Roman" w:eastAsia="Times New Roman" w:hAnsi="Times New Roman" w:cs="Times New Roman"/>
          <w:sz w:val="20"/>
          <w:szCs w:val="20"/>
        </w:rPr>
        <w:t xml:space="preserve"> Social , and Governance Performance : The Brazilian Case. </w:t>
      </w:r>
      <w:proofErr w:type="gramStart"/>
      <w:r w:rsidR="0056450E" w:rsidRPr="007C262A">
        <w:rPr>
          <w:rFonts w:ascii="Times New Roman" w:eastAsia="Times New Roman" w:hAnsi="Times New Roman" w:cs="Times New Roman"/>
          <w:i/>
          <w:sz w:val="20"/>
          <w:szCs w:val="20"/>
        </w:rPr>
        <w:t>Sustainability 2018, 10</w:t>
      </w:r>
      <w:r w:rsidR="0056450E" w:rsidRPr="007C262A">
        <w:rPr>
          <w:rFonts w:ascii="Times New Roman" w:eastAsia="Times New Roman" w:hAnsi="Times New Roman" w:cs="Times New Roman"/>
          <w:sz w:val="20"/>
          <w:szCs w:val="20"/>
        </w:rPr>
        <w:t>(3), 574.</w:t>
      </w:r>
      <w:proofErr w:type="gramEnd"/>
      <w:r w:rsidR="0056450E" w:rsidRPr="007C262A">
        <w:rPr>
          <w:rFonts w:ascii="Times New Roman" w:eastAsia="Times New Roman" w:hAnsi="Times New Roman" w:cs="Times New Roman"/>
          <w:sz w:val="20"/>
          <w:szCs w:val="20"/>
        </w:rPr>
        <w:t xml:space="preserve"> </w:t>
      </w:r>
      <w:hyperlink r:id="rId15">
        <w:r w:rsidR="0056450E" w:rsidRPr="007C262A">
          <w:rPr>
            <w:rFonts w:ascii="Times New Roman" w:eastAsia="Times New Roman" w:hAnsi="Times New Roman" w:cs="Times New Roman"/>
            <w:color w:val="000000"/>
            <w:sz w:val="20"/>
            <w:szCs w:val="20"/>
            <w:u w:val="single"/>
          </w:rPr>
          <w:t>https://doi.org/10.3390/su10030574</w:t>
        </w:r>
      </w:hyperlink>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[20] </w:t>
      </w:r>
      <w:r w:rsidR="0056450E" w:rsidRPr="007C262A">
        <w:rPr>
          <w:rFonts w:ascii="Times New Roman" w:eastAsia="Times New Roman" w:hAnsi="Times New Roman" w:cs="Times New Roman"/>
          <w:sz w:val="20"/>
          <w:szCs w:val="20"/>
        </w:rPr>
        <w:t xml:space="preserve">Pacheco, L. (2019). "Performance vs. Family ownership and management: The case of Portuguese wine ﬁrms." </w:t>
      </w:r>
      <w:r w:rsidR="0056450E" w:rsidRPr="007C262A">
        <w:rPr>
          <w:rFonts w:ascii="Times New Roman" w:eastAsia="Times New Roman" w:hAnsi="Times New Roman" w:cs="Times New Roman"/>
          <w:i/>
          <w:sz w:val="20"/>
          <w:szCs w:val="20"/>
        </w:rPr>
        <w:t>Entrepreneurial Business and Economics Review</w:t>
      </w:r>
      <w:r w:rsidR="0056450E" w:rsidRPr="007C262A">
        <w:rPr>
          <w:rFonts w:ascii="Times New Roman" w:eastAsia="Times New Roman" w:hAnsi="Times New Roman" w:cs="Times New Roman"/>
          <w:sz w:val="20"/>
          <w:szCs w:val="20"/>
        </w:rPr>
        <w:t>, 7(3): 7–24.</w:t>
      </w:r>
    </w:p>
    <w:p w:rsidR="00D3058A" w:rsidRDefault="007C262A" w:rsidP="007C262A">
      <w:pPr>
        <w:spacing w:after="0" w:line="240" w:lineRule="auto"/>
        <w:ind w:left="450" w:hanging="450"/>
        <w:rPr>
          <w:rFonts w:ascii="Times New Roman" w:eastAsia="Times New Roman" w:hAnsi="Times New Roman" w:cs="Times New Roman"/>
          <w:color w:val="000000"/>
          <w:sz w:val="20"/>
          <w:szCs w:val="20"/>
          <w:u w:val="single"/>
        </w:rPr>
      </w:pPr>
      <w:r w:rsidRPr="007C262A">
        <w:rPr>
          <w:rFonts w:ascii="Times New Roman" w:eastAsia="Times New Roman" w:hAnsi="Times New Roman" w:cs="Times New Roman"/>
          <w:sz w:val="20"/>
          <w:szCs w:val="20"/>
        </w:rPr>
        <w:t xml:space="preserve">[21] </w:t>
      </w:r>
      <w:proofErr w:type="spellStart"/>
      <w:r w:rsidR="0056450E" w:rsidRPr="007C262A">
        <w:rPr>
          <w:rFonts w:ascii="Times New Roman" w:eastAsia="Times New Roman" w:hAnsi="Times New Roman" w:cs="Times New Roman"/>
          <w:sz w:val="20"/>
          <w:szCs w:val="20"/>
        </w:rPr>
        <w:t>Pulino</w:t>
      </w:r>
      <w:proofErr w:type="spellEnd"/>
      <w:r w:rsidR="0056450E" w:rsidRPr="007C262A">
        <w:rPr>
          <w:rFonts w:ascii="Times New Roman" w:eastAsia="Times New Roman" w:hAnsi="Times New Roman" w:cs="Times New Roman"/>
          <w:sz w:val="20"/>
          <w:szCs w:val="20"/>
        </w:rPr>
        <w:t xml:space="preserve">, S. C., </w:t>
      </w:r>
      <w:proofErr w:type="spellStart"/>
      <w:r w:rsidR="0056450E" w:rsidRPr="007C262A">
        <w:rPr>
          <w:rFonts w:ascii="Times New Roman" w:eastAsia="Times New Roman" w:hAnsi="Times New Roman" w:cs="Times New Roman"/>
          <w:sz w:val="20"/>
          <w:szCs w:val="20"/>
        </w:rPr>
        <w:t>Ciaburri</w:t>
      </w:r>
      <w:proofErr w:type="spellEnd"/>
      <w:r w:rsidR="0056450E" w:rsidRPr="007C262A">
        <w:rPr>
          <w:rFonts w:ascii="Times New Roman" w:eastAsia="Times New Roman" w:hAnsi="Times New Roman" w:cs="Times New Roman"/>
          <w:sz w:val="20"/>
          <w:szCs w:val="20"/>
        </w:rPr>
        <w:t xml:space="preserve">, M., </w:t>
      </w:r>
      <w:proofErr w:type="spellStart"/>
      <w:r w:rsidR="0056450E" w:rsidRPr="007C262A">
        <w:rPr>
          <w:rFonts w:ascii="Times New Roman" w:eastAsia="Times New Roman" w:hAnsi="Times New Roman" w:cs="Times New Roman"/>
          <w:sz w:val="20"/>
          <w:szCs w:val="20"/>
        </w:rPr>
        <w:t>Magnanelli</w:t>
      </w:r>
      <w:proofErr w:type="spellEnd"/>
      <w:r w:rsidR="0056450E" w:rsidRPr="007C262A">
        <w:rPr>
          <w:rFonts w:ascii="Times New Roman" w:eastAsia="Times New Roman" w:hAnsi="Times New Roman" w:cs="Times New Roman"/>
          <w:sz w:val="20"/>
          <w:szCs w:val="20"/>
        </w:rPr>
        <w:t xml:space="preserve">, B. S., &amp; </w:t>
      </w:r>
      <w:proofErr w:type="spellStart"/>
      <w:r w:rsidR="0056450E" w:rsidRPr="007C262A">
        <w:rPr>
          <w:rFonts w:ascii="Times New Roman" w:eastAsia="Times New Roman" w:hAnsi="Times New Roman" w:cs="Times New Roman"/>
          <w:sz w:val="20"/>
          <w:szCs w:val="20"/>
        </w:rPr>
        <w:t>Nasta</w:t>
      </w:r>
      <w:proofErr w:type="spellEnd"/>
      <w:r w:rsidR="0056450E" w:rsidRPr="007C262A">
        <w:rPr>
          <w:rFonts w:ascii="Times New Roman" w:eastAsia="Times New Roman" w:hAnsi="Times New Roman" w:cs="Times New Roman"/>
          <w:sz w:val="20"/>
          <w:szCs w:val="20"/>
        </w:rPr>
        <w:t xml:space="preserve">, L. (2022). Does ESG Disclosure Influence Firm Performance ? </w:t>
      </w:r>
      <w:proofErr w:type="gramStart"/>
      <w:r w:rsidR="0056450E" w:rsidRPr="007C262A">
        <w:rPr>
          <w:rFonts w:ascii="Times New Roman" w:eastAsia="Times New Roman" w:hAnsi="Times New Roman" w:cs="Times New Roman"/>
          <w:i/>
          <w:sz w:val="20"/>
          <w:szCs w:val="20"/>
        </w:rPr>
        <w:t>Sustainability 2022</w:t>
      </w:r>
      <w:r w:rsidR="0056450E" w:rsidRPr="007C262A">
        <w:rPr>
          <w:rFonts w:ascii="Times New Roman" w:eastAsia="Times New Roman" w:hAnsi="Times New Roman" w:cs="Times New Roman"/>
          <w:sz w:val="20"/>
          <w:szCs w:val="20"/>
        </w:rPr>
        <w:t>, 14(13), 7595.</w:t>
      </w:r>
      <w:proofErr w:type="gramEnd"/>
      <w:r w:rsidR="0056450E" w:rsidRPr="007C262A">
        <w:rPr>
          <w:rFonts w:ascii="Times New Roman" w:eastAsia="Times New Roman" w:hAnsi="Times New Roman" w:cs="Times New Roman"/>
          <w:sz w:val="20"/>
          <w:szCs w:val="20"/>
        </w:rPr>
        <w:t xml:space="preserve"> </w:t>
      </w:r>
      <w:hyperlink r:id="rId16">
        <w:r w:rsidR="0056450E" w:rsidRPr="007C262A">
          <w:rPr>
            <w:rFonts w:ascii="Times New Roman" w:eastAsia="Times New Roman" w:hAnsi="Times New Roman" w:cs="Times New Roman"/>
            <w:color w:val="000000"/>
            <w:sz w:val="20"/>
            <w:szCs w:val="20"/>
            <w:u w:val="single"/>
          </w:rPr>
          <w:t>https://doi.org/10.3390/su14137595</w:t>
        </w:r>
      </w:hyperlink>
    </w:p>
    <w:p w:rsidR="00D3058A" w:rsidRPr="007C262A" w:rsidRDefault="005D2CDF"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 </w:t>
      </w:r>
      <w:r w:rsidR="007C262A" w:rsidRPr="007C262A">
        <w:rPr>
          <w:rFonts w:ascii="Times New Roman" w:eastAsia="Times New Roman" w:hAnsi="Times New Roman" w:cs="Times New Roman"/>
          <w:sz w:val="20"/>
          <w:szCs w:val="20"/>
        </w:rPr>
        <w:t xml:space="preserve">[22] </w:t>
      </w:r>
      <w:r w:rsidR="0056450E" w:rsidRPr="007C262A">
        <w:rPr>
          <w:rFonts w:ascii="Times New Roman" w:eastAsia="Times New Roman" w:hAnsi="Times New Roman" w:cs="Times New Roman"/>
          <w:sz w:val="20"/>
          <w:szCs w:val="20"/>
        </w:rPr>
        <w:t xml:space="preserve">Rita, Y., </w:t>
      </w:r>
      <w:proofErr w:type="spellStart"/>
      <w:r w:rsidR="0056450E" w:rsidRPr="007C262A">
        <w:rPr>
          <w:rFonts w:ascii="Times New Roman" w:eastAsia="Times New Roman" w:hAnsi="Times New Roman" w:cs="Times New Roman"/>
          <w:sz w:val="20"/>
          <w:szCs w:val="20"/>
        </w:rPr>
        <w:t>Bambang</w:t>
      </w:r>
      <w:proofErr w:type="spellEnd"/>
      <w:r w:rsidR="0056450E" w:rsidRPr="007C262A">
        <w:rPr>
          <w:rFonts w:ascii="Times New Roman" w:eastAsia="Times New Roman" w:hAnsi="Times New Roman" w:cs="Times New Roman"/>
          <w:sz w:val="20"/>
          <w:szCs w:val="20"/>
        </w:rPr>
        <w:t xml:space="preserve">, P., </w:t>
      </w:r>
      <w:proofErr w:type="spellStart"/>
      <w:r w:rsidR="0056450E" w:rsidRPr="007C262A">
        <w:rPr>
          <w:rFonts w:ascii="Times New Roman" w:eastAsia="Times New Roman" w:hAnsi="Times New Roman" w:cs="Times New Roman"/>
          <w:sz w:val="20"/>
          <w:szCs w:val="20"/>
        </w:rPr>
        <w:t>Eko</w:t>
      </w:r>
      <w:proofErr w:type="spellEnd"/>
      <w:r w:rsidR="0056450E" w:rsidRPr="007C262A">
        <w:rPr>
          <w:rFonts w:ascii="Times New Roman" w:eastAsia="Times New Roman" w:hAnsi="Times New Roman" w:cs="Times New Roman"/>
          <w:sz w:val="20"/>
          <w:szCs w:val="20"/>
        </w:rPr>
        <w:t xml:space="preserve">, GS. (2008), </w:t>
      </w:r>
      <w:proofErr w:type="gramStart"/>
      <w:r w:rsidR="0056450E" w:rsidRPr="007C262A">
        <w:rPr>
          <w:rFonts w:ascii="Times New Roman" w:eastAsia="Times New Roman" w:hAnsi="Times New Roman" w:cs="Times New Roman"/>
          <w:sz w:val="20"/>
          <w:szCs w:val="20"/>
        </w:rPr>
        <w:t>The</w:t>
      </w:r>
      <w:proofErr w:type="gramEnd"/>
      <w:r w:rsidR="0056450E" w:rsidRPr="007C262A">
        <w:rPr>
          <w:rFonts w:ascii="Times New Roman" w:eastAsia="Times New Roman" w:hAnsi="Times New Roman" w:cs="Times New Roman"/>
          <w:sz w:val="20"/>
          <w:szCs w:val="20"/>
        </w:rPr>
        <w:t xml:space="preserve"> effect of company characteristics on the CSR disclosure and its impact on investor reaction. </w:t>
      </w:r>
      <w:proofErr w:type="gramStart"/>
      <w:r w:rsidR="0056450E" w:rsidRPr="007C262A">
        <w:rPr>
          <w:rFonts w:ascii="Times New Roman" w:eastAsia="Times New Roman" w:hAnsi="Times New Roman" w:cs="Times New Roman"/>
          <w:i/>
          <w:sz w:val="20"/>
          <w:szCs w:val="20"/>
        </w:rPr>
        <w:t>Journal of Accounting and Finance Indonesia,</w:t>
      </w:r>
      <w:r w:rsidR="0056450E" w:rsidRPr="007C262A">
        <w:rPr>
          <w:rFonts w:ascii="Times New Roman" w:eastAsia="Times New Roman" w:hAnsi="Times New Roman" w:cs="Times New Roman"/>
          <w:sz w:val="20"/>
          <w:szCs w:val="20"/>
        </w:rPr>
        <w:t xml:space="preserve"> 5(2).</w:t>
      </w:r>
      <w:proofErr w:type="gramEnd"/>
    </w:p>
    <w:p w:rsidR="00D3058A" w:rsidRPr="007C262A" w:rsidRDefault="007C262A" w:rsidP="007C262A">
      <w:pPr>
        <w:spacing w:after="0" w:line="240" w:lineRule="auto"/>
        <w:ind w:left="450" w:hanging="45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lastRenderedPageBreak/>
        <w:t xml:space="preserve">[23] </w:t>
      </w:r>
      <w:r w:rsidR="0056450E" w:rsidRPr="007C262A">
        <w:rPr>
          <w:rFonts w:ascii="Times New Roman" w:eastAsia="Times New Roman" w:hAnsi="Times New Roman" w:cs="Times New Roman"/>
          <w:sz w:val="20"/>
          <w:szCs w:val="20"/>
        </w:rPr>
        <w:t xml:space="preserve">Rossi, F., </w:t>
      </w:r>
      <w:proofErr w:type="spellStart"/>
      <w:r w:rsidR="0056450E" w:rsidRPr="007C262A">
        <w:rPr>
          <w:rFonts w:ascii="Times New Roman" w:eastAsia="Times New Roman" w:hAnsi="Times New Roman" w:cs="Times New Roman"/>
          <w:sz w:val="20"/>
          <w:szCs w:val="20"/>
        </w:rPr>
        <w:t>Harjoto</w:t>
      </w:r>
      <w:proofErr w:type="spellEnd"/>
      <w:r w:rsidR="0056450E" w:rsidRPr="007C262A">
        <w:rPr>
          <w:rFonts w:ascii="Times New Roman" w:eastAsia="Times New Roman" w:hAnsi="Times New Roman" w:cs="Times New Roman"/>
          <w:sz w:val="20"/>
          <w:szCs w:val="20"/>
        </w:rPr>
        <w:t xml:space="preserve">, M.A. Corporate non-financial disclosure, firm value, risk, and agency </w:t>
      </w:r>
      <w:proofErr w:type="gramStart"/>
      <w:r w:rsidR="0056450E" w:rsidRPr="007C262A">
        <w:rPr>
          <w:rFonts w:ascii="Times New Roman" w:eastAsia="Times New Roman" w:hAnsi="Times New Roman" w:cs="Times New Roman"/>
          <w:sz w:val="20"/>
          <w:szCs w:val="20"/>
        </w:rPr>
        <w:t>costs</w:t>
      </w:r>
      <w:proofErr w:type="gramEnd"/>
      <w:r w:rsidR="0056450E" w:rsidRPr="007C262A">
        <w:rPr>
          <w:rFonts w:ascii="Times New Roman" w:eastAsia="Times New Roman" w:hAnsi="Times New Roman" w:cs="Times New Roman"/>
          <w:sz w:val="20"/>
          <w:szCs w:val="20"/>
        </w:rPr>
        <w:t>: evidence from Italian listed companies. </w:t>
      </w:r>
      <w:proofErr w:type="gramStart"/>
      <w:r w:rsidR="0056450E" w:rsidRPr="007C262A">
        <w:rPr>
          <w:rFonts w:ascii="Times New Roman" w:eastAsia="Times New Roman" w:hAnsi="Times New Roman" w:cs="Times New Roman"/>
          <w:i/>
          <w:sz w:val="20"/>
          <w:szCs w:val="20"/>
        </w:rPr>
        <w:t xml:space="preserve">Rev </w:t>
      </w:r>
      <w:proofErr w:type="spellStart"/>
      <w:r w:rsidR="0056450E" w:rsidRPr="007C262A">
        <w:rPr>
          <w:rFonts w:ascii="Times New Roman" w:eastAsia="Times New Roman" w:hAnsi="Times New Roman" w:cs="Times New Roman"/>
          <w:i/>
          <w:sz w:val="20"/>
          <w:szCs w:val="20"/>
        </w:rPr>
        <w:t>Manag</w:t>
      </w:r>
      <w:proofErr w:type="spellEnd"/>
      <w:r w:rsidR="0056450E" w:rsidRPr="007C262A">
        <w:rPr>
          <w:rFonts w:ascii="Times New Roman" w:eastAsia="Times New Roman" w:hAnsi="Times New Roman" w:cs="Times New Roman"/>
          <w:i/>
          <w:sz w:val="20"/>
          <w:szCs w:val="20"/>
        </w:rPr>
        <w:t xml:space="preserve"> </w:t>
      </w:r>
      <w:proofErr w:type="spellStart"/>
      <w:r w:rsidR="0056450E" w:rsidRPr="007C262A">
        <w:rPr>
          <w:rFonts w:ascii="Times New Roman" w:eastAsia="Times New Roman" w:hAnsi="Times New Roman" w:cs="Times New Roman"/>
          <w:i/>
          <w:sz w:val="20"/>
          <w:szCs w:val="20"/>
        </w:rPr>
        <w:t>Sci</w:t>
      </w:r>
      <w:proofErr w:type="spellEnd"/>
      <w:r w:rsidR="0056450E" w:rsidRPr="007C262A">
        <w:rPr>
          <w:rFonts w:ascii="Times New Roman" w:eastAsia="Times New Roman" w:hAnsi="Times New Roman" w:cs="Times New Roman"/>
          <w:sz w:val="20"/>
          <w:szCs w:val="20"/>
        </w:rPr>
        <w:t> </w:t>
      </w:r>
      <w:r w:rsidR="0056450E" w:rsidRPr="007C262A">
        <w:rPr>
          <w:rFonts w:ascii="Times New Roman" w:eastAsia="Times New Roman" w:hAnsi="Times New Roman" w:cs="Times New Roman"/>
          <w:b/>
          <w:sz w:val="20"/>
          <w:szCs w:val="20"/>
        </w:rPr>
        <w:t>14</w:t>
      </w:r>
      <w:r w:rsidR="0056450E" w:rsidRPr="007C262A">
        <w:rPr>
          <w:rFonts w:ascii="Times New Roman" w:eastAsia="Times New Roman" w:hAnsi="Times New Roman" w:cs="Times New Roman"/>
          <w:sz w:val="20"/>
          <w:szCs w:val="20"/>
        </w:rPr>
        <w:t>, 1149–1181 (2020).</w:t>
      </w:r>
      <w:proofErr w:type="gramEnd"/>
      <w:r w:rsidR="0056450E" w:rsidRPr="007C262A">
        <w:rPr>
          <w:rFonts w:ascii="Times New Roman" w:eastAsia="Times New Roman" w:hAnsi="Times New Roman" w:cs="Times New Roman"/>
          <w:sz w:val="20"/>
          <w:szCs w:val="20"/>
        </w:rPr>
        <w:t xml:space="preserve"> </w:t>
      </w:r>
      <w:hyperlink r:id="rId17">
        <w:r w:rsidR="0056450E" w:rsidRPr="007C262A">
          <w:rPr>
            <w:rFonts w:ascii="Times New Roman" w:eastAsia="Times New Roman" w:hAnsi="Times New Roman" w:cs="Times New Roman"/>
            <w:color w:val="000000"/>
            <w:sz w:val="20"/>
            <w:szCs w:val="20"/>
            <w:u w:val="single"/>
          </w:rPr>
          <w:t>https://doi.org/10.1007/s11846-019-00358-z</w:t>
        </w:r>
      </w:hyperlink>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[24] </w:t>
      </w:r>
      <w:proofErr w:type="spellStart"/>
      <w:r w:rsidR="0056450E" w:rsidRPr="007C262A">
        <w:rPr>
          <w:rFonts w:ascii="Times New Roman" w:eastAsia="Times New Roman" w:hAnsi="Times New Roman" w:cs="Times New Roman"/>
          <w:sz w:val="20"/>
          <w:szCs w:val="20"/>
        </w:rPr>
        <w:t>Rusdiyanto</w:t>
      </w:r>
      <w:proofErr w:type="spellEnd"/>
      <w:r w:rsidR="0056450E" w:rsidRPr="007C262A">
        <w:rPr>
          <w:rFonts w:ascii="Times New Roman" w:eastAsia="Times New Roman" w:hAnsi="Times New Roman" w:cs="Times New Roman"/>
          <w:sz w:val="20"/>
          <w:szCs w:val="20"/>
        </w:rPr>
        <w:t xml:space="preserve">, S. &amp; </w:t>
      </w:r>
      <w:proofErr w:type="spellStart"/>
      <w:r w:rsidR="0056450E" w:rsidRPr="007C262A">
        <w:rPr>
          <w:rFonts w:ascii="Times New Roman" w:eastAsia="Times New Roman" w:hAnsi="Times New Roman" w:cs="Times New Roman"/>
          <w:sz w:val="20"/>
          <w:szCs w:val="20"/>
        </w:rPr>
        <w:t>Narsa</w:t>
      </w:r>
      <w:proofErr w:type="spellEnd"/>
      <w:r w:rsidR="0056450E" w:rsidRPr="007C262A">
        <w:rPr>
          <w:rFonts w:ascii="Times New Roman" w:eastAsia="Times New Roman" w:hAnsi="Times New Roman" w:cs="Times New Roman"/>
          <w:sz w:val="20"/>
          <w:szCs w:val="20"/>
        </w:rPr>
        <w:t>, I</w:t>
      </w:r>
      <w:proofErr w:type="gramStart"/>
      <w:r w:rsidR="0056450E" w:rsidRPr="007C262A">
        <w:rPr>
          <w:rFonts w:ascii="Times New Roman" w:eastAsia="Times New Roman" w:hAnsi="Times New Roman" w:cs="Times New Roman"/>
          <w:sz w:val="20"/>
          <w:szCs w:val="20"/>
        </w:rPr>
        <w:t>,M</w:t>
      </w:r>
      <w:proofErr w:type="gramEnd"/>
      <w:r w:rsidR="0056450E" w:rsidRPr="007C262A">
        <w:rPr>
          <w:rFonts w:ascii="Times New Roman" w:eastAsia="Times New Roman" w:hAnsi="Times New Roman" w:cs="Times New Roman"/>
          <w:sz w:val="20"/>
          <w:szCs w:val="20"/>
        </w:rPr>
        <w:t xml:space="preserve">. (2019). </w:t>
      </w:r>
      <w:proofErr w:type="gramStart"/>
      <w:r w:rsidR="0056450E" w:rsidRPr="007C262A">
        <w:rPr>
          <w:rFonts w:ascii="Times New Roman" w:eastAsia="Times New Roman" w:hAnsi="Times New Roman" w:cs="Times New Roman"/>
          <w:sz w:val="20"/>
          <w:szCs w:val="20"/>
        </w:rPr>
        <w:t>The E</w:t>
      </w:r>
      <w:r w:rsidR="0056450E" w:rsidRPr="007C262A">
        <w:rPr>
          <w:rFonts w:ascii="Cambria Math" w:eastAsia="Cambria Math" w:hAnsi="Cambria Math" w:cs="Cambria Math"/>
          <w:sz w:val="20"/>
          <w:szCs w:val="20"/>
        </w:rPr>
        <w:t>ﬀ</w:t>
      </w:r>
      <w:r w:rsidR="0056450E" w:rsidRPr="007C262A">
        <w:rPr>
          <w:rFonts w:ascii="Times New Roman" w:eastAsia="Times New Roman" w:hAnsi="Times New Roman" w:cs="Times New Roman"/>
          <w:sz w:val="20"/>
          <w:szCs w:val="20"/>
        </w:rPr>
        <w:t>ects of Earnings Volatility, Net Income and Comprehensive Income on Stock Prices on Banking Companies on the Indonesia Stock Exchange.</w:t>
      </w:r>
      <w:proofErr w:type="gramEnd"/>
      <w:r w:rsidR="0056450E" w:rsidRPr="007C262A">
        <w:rPr>
          <w:rFonts w:ascii="Times New Roman" w:eastAsia="Times New Roman" w:hAnsi="Times New Roman" w:cs="Times New Roman"/>
          <w:sz w:val="20"/>
          <w:szCs w:val="20"/>
        </w:rPr>
        <w:t xml:space="preserve"> </w:t>
      </w:r>
      <w:r w:rsidR="0056450E" w:rsidRPr="007C262A">
        <w:rPr>
          <w:rFonts w:ascii="Times New Roman" w:eastAsia="Times New Roman" w:hAnsi="Times New Roman" w:cs="Times New Roman"/>
          <w:i/>
          <w:sz w:val="20"/>
          <w:szCs w:val="20"/>
        </w:rPr>
        <w:t>International Review of Management and Marketing</w:t>
      </w:r>
      <w:r w:rsidR="0056450E" w:rsidRPr="007C262A">
        <w:rPr>
          <w:rFonts w:ascii="Times New Roman" w:eastAsia="Times New Roman" w:hAnsi="Times New Roman" w:cs="Times New Roman"/>
          <w:sz w:val="20"/>
          <w:szCs w:val="20"/>
        </w:rPr>
        <w:t>, 9(6): 18–24.</w:t>
      </w:r>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[25] </w:t>
      </w:r>
      <w:proofErr w:type="spellStart"/>
      <w:r w:rsidR="0056450E" w:rsidRPr="007C262A">
        <w:rPr>
          <w:rFonts w:ascii="Times New Roman" w:eastAsia="Times New Roman" w:hAnsi="Times New Roman" w:cs="Times New Roman"/>
          <w:sz w:val="20"/>
          <w:szCs w:val="20"/>
        </w:rPr>
        <w:t>Sawicki</w:t>
      </w:r>
      <w:proofErr w:type="spellEnd"/>
      <w:r w:rsidR="0056450E" w:rsidRPr="007C262A">
        <w:rPr>
          <w:rFonts w:ascii="Times New Roman" w:eastAsia="Times New Roman" w:hAnsi="Times New Roman" w:cs="Times New Roman"/>
          <w:sz w:val="20"/>
          <w:szCs w:val="20"/>
        </w:rPr>
        <w:t xml:space="preserve">, J. (2009). </w:t>
      </w:r>
      <w:proofErr w:type="gramStart"/>
      <w:r w:rsidR="0056450E" w:rsidRPr="007C262A">
        <w:rPr>
          <w:rFonts w:ascii="Times New Roman" w:eastAsia="Times New Roman" w:hAnsi="Times New Roman" w:cs="Times New Roman"/>
          <w:sz w:val="20"/>
          <w:szCs w:val="20"/>
        </w:rPr>
        <w:t>Corporate governance and dividend policy in Southeast Asia pre- and post-crisis.</w:t>
      </w:r>
      <w:proofErr w:type="gramEnd"/>
      <w:r w:rsidR="0056450E" w:rsidRPr="007C262A">
        <w:rPr>
          <w:rFonts w:ascii="Times New Roman" w:eastAsia="Times New Roman" w:hAnsi="Times New Roman" w:cs="Times New Roman"/>
          <w:sz w:val="20"/>
          <w:szCs w:val="20"/>
        </w:rPr>
        <w:t xml:space="preserve"> </w:t>
      </w:r>
      <w:r w:rsidR="0056450E" w:rsidRPr="007C262A">
        <w:rPr>
          <w:rFonts w:ascii="Times New Roman" w:eastAsia="Times New Roman" w:hAnsi="Times New Roman" w:cs="Times New Roman"/>
          <w:i/>
          <w:sz w:val="20"/>
          <w:szCs w:val="20"/>
        </w:rPr>
        <w:t>The European Journal of Finance</w:t>
      </w:r>
      <w:r w:rsidR="0056450E" w:rsidRPr="007C262A">
        <w:rPr>
          <w:rFonts w:ascii="Times New Roman" w:eastAsia="Times New Roman" w:hAnsi="Times New Roman" w:cs="Times New Roman"/>
          <w:sz w:val="20"/>
          <w:szCs w:val="20"/>
        </w:rPr>
        <w:t xml:space="preserve">, 15(2), 211-230. </w:t>
      </w:r>
      <w:hyperlink r:id="rId18">
        <w:r w:rsidR="0056450E" w:rsidRPr="007C262A">
          <w:rPr>
            <w:rFonts w:ascii="Times New Roman" w:eastAsia="Times New Roman" w:hAnsi="Times New Roman" w:cs="Times New Roman"/>
            <w:color w:val="000000"/>
            <w:sz w:val="20"/>
            <w:szCs w:val="20"/>
            <w:u w:val="single"/>
          </w:rPr>
          <w:t>https://doi.org/10.1080/13518470802604440</w:t>
        </w:r>
      </w:hyperlink>
    </w:p>
    <w:p w:rsidR="00D3058A" w:rsidRPr="007C262A" w:rsidRDefault="007C262A" w:rsidP="007C262A">
      <w:pPr>
        <w:spacing w:after="0" w:line="240" w:lineRule="auto"/>
        <w:ind w:left="450" w:hanging="45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[26] </w:t>
      </w:r>
      <w:proofErr w:type="spellStart"/>
      <w:r w:rsidR="0056450E" w:rsidRPr="007C262A">
        <w:rPr>
          <w:rFonts w:ascii="Times New Roman" w:eastAsia="Times New Roman" w:hAnsi="Times New Roman" w:cs="Times New Roman"/>
          <w:sz w:val="20"/>
          <w:szCs w:val="20"/>
        </w:rPr>
        <w:t>Shakil</w:t>
      </w:r>
      <w:proofErr w:type="spellEnd"/>
      <w:r w:rsidR="0056450E" w:rsidRPr="007C262A">
        <w:rPr>
          <w:rFonts w:ascii="Times New Roman" w:eastAsia="Times New Roman" w:hAnsi="Times New Roman" w:cs="Times New Roman"/>
          <w:sz w:val="20"/>
          <w:szCs w:val="20"/>
        </w:rPr>
        <w:t xml:space="preserve">, M. H. (2020). </w:t>
      </w:r>
      <w:proofErr w:type="gramStart"/>
      <w:r w:rsidR="0056450E" w:rsidRPr="007C262A">
        <w:rPr>
          <w:rFonts w:ascii="Times New Roman" w:eastAsia="Times New Roman" w:hAnsi="Times New Roman" w:cs="Times New Roman"/>
          <w:sz w:val="20"/>
          <w:szCs w:val="20"/>
        </w:rPr>
        <w:t>Environmental ,</w:t>
      </w:r>
      <w:proofErr w:type="gramEnd"/>
      <w:r w:rsidR="0056450E" w:rsidRPr="007C262A">
        <w:rPr>
          <w:rFonts w:ascii="Times New Roman" w:eastAsia="Times New Roman" w:hAnsi="Times New Roman" w:cs="Times New Roman"/>
          <w:sz w:val="20"/>
          <w:szCs w:val="20"/>
        </w:rPr>
        <w:t xml:space="preserve"> social and governance performance and stock price volatility : A moderating role of firm size. </w:t>
      </w:r>
      <w:r w:rsidR="0056450E" w:rsidRPr="007C262A">
        <w:rPr>
          <w:rFonts w:ascii="Times New Roman" w:eastAsia="Times New Roman" w:hAnsi="Times New Roman" w:cs="Times New Roman"/>
          <w:i/>
          <w:sz w:val="20"/>
          <w:szCs w:val="20"/>
        </w:rPr>
        <w:t>Journal of Public Studies: an International Journal, 22</w:t>
      </w:r>
      <w:r w:rsidR="0056450E" w:rsidRPr="007C262A">
        <w:rPr>
          <w:rFonts w:ascii="Times New Roman" w:eastAsia="Times New Roman" w:hAnsi="Times New Roman" w:cs="Times New Roman"/>
          <w:sz w:val="20"/>
          <w:szCs w:val="20"/>
        </w:rPr>
        <w:t xml:space="preserve">(3), 1–11. </w:t>
      </w:r>
      <w:hyperlink r:id="rId19">
        <w:r w:rsidR="0056450E" w:rsidRPr="007C262A">
          <w:rPr>
            <w:rFonts w:ascii="Times New Roman" w:eastAsia="Times New Roman" w:hAnsi="Times New Roman" w:cs="Times New Roman"/>
            <w:color w:val="000000"/>
            <w:sz w:val="20"/>
            <w:szCs w:val="20"/>
            <w:u w:val="single"/>
          </w:rPr>
          <w:t>https://doi.org/10.1002/pa.2574</w:t>
        </w:r>
      </w:hyperlink>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[27] </w:t>
      </w:r>
      <w:r w:rsidR="0056450E" w:rsidRPr="007C262A">
        <w:rPr>
          <w:rFonts w:ascii="Times New Roman" w:eastAsia="Times New Roman" w:hAnsi="Times New Roman" w:cs="Times New Roman"/>
          <w:sz w:val="20"/>
          <w:szCs w:val="20"/>
        </w:rPr>
        <w:t xml:space="preserve">Till, RE &amp; </w:t>
      </w:r>
      <w:proofErr w:type="spellStart"/>
      <w:r w:rsidR="0056450E" w:rsidRPr="007C262A">
        <w:rPr>
          <w:rFonts w:ascii="Times New Roman" w:eastAsia="Times New Roman" w:hAnsi="Times New Roman" w:cs="Times New Roman"/>
          <w:sz w:val="20"/>
          <w:szCs w:val="20"/>
        </w:rPr>
        <w:t>Yount</w:t>
      </w:r>
      <w:proofErr w:type="spellEnd"/>
      <w:r w:rsidR="0056450E" w:rsidRPr="007C262A">
        <w:rPr>
          <w:rFonts w:ascii="Times New Roman" w:eastAsia="Times New Roman" w:hAnsi="Times New Roman" w:cs="Times New Roman"/>
          <w:sz w:val="20"/>
          <w:szCs w:val="20"/>
        </w:rPr>
        <w:t xml:space="preserve">, MB (2019). Governance and Incentives: Is It Really All about the Money? </w:t>
      </w:r>
      <w:r w:rsidR="0056450E" w:rsidRPr="007C262A">
        <w:rPr>
          <w:rFonts w:ascii="Times New Roman" w:eastAsia="Times New Roman" w:hAnsi="Times New Roman" w:cs="Times New Roman"/>
          <w:i/>
          <w:sz w:val="20"/>
          <w:szCs w:val="20"/>
        </w:rPr>
        <w:t>Journal of Business Ethics</w:t>
      </w:r>
      <w:r w:rsidR="0056450E" w:rsidRPr="007C262A">
        <w:rPr>
          <w:rFonts w:ascii="Times New Roman" w:eastAsia="Times New Roman" w:hAnsi="Times New Roman" w:cs="Times New Roman"/>
          <w:sz w:val="20"/>
          <w:szCs w:val="20"/>
        </w:rPr>
        <w:t>, 159(3): 605–618.</w:t>
      </w:r>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[28] </w:t>
      </w:r>
      <w:proofErr w:type="spellStart"/>
      <w:r w:rsidR="0056450E" w:rsidRPr="007C262A">
        <w:rPr>
          <w:rFonts w:ascii="Times New Roman" w:eastAsia="Times New Roman" w:hAnsi="Times New Roman" w:cs="Times New Roman"/>
          <w:sz w:val="20"/>
          <w:szCs w:val="20"/>
        </w:rPr>
        <w:t>Widiatmoko</w:t>
      </w:r>
      <w:proofErr w:type="spellEnd"/>
      <w:r w:rsidR="0056450E" w:rsidRPr="007C262A">
        <w:rPr>
          <w:rFonts w:ascii="Times New Roman" w:eastAsia="Times New Roman" w:hAnsi="Times New Roman" w:cs="Times New Roman"/>
          <w:sz w:val="20"/>
          <w:szCs w:val="20"/>
        </w:rPr>
        <w:t xml:space="preserve">, J., </w:t>
      </w:r>
      <w:proofErr w:type="spellStart"/>
      <w:r w:rsidR="0056450E" w:rsidRPr="007C262A">
        <w:rPr>
          <w:rFonts w:ascii="Times New Roman" w:eastAsia="Times New Roman" w:hAnsi="Times New Roman" w:cs="Times New Roman"/>
          <w:sz w:val="20"/>
          <w:szCs w:val="20"/>
        </w:rPr>
        <w:t>Goreti</w:t>
      </w:r>
      <w:proofErr w:type="spellEnd"/>
      <w:r w:rsidR="0056450E" w:rsidRPr="007C262A">
        <w:rPr>
          <w:rFonts w:ascii="Times New Roman" w:eastAsia="Times New Roman" w:hAnsi="Times New Roman" w:cs="Times New Roman"/>
          <w:sz w:val="20"/>
          <w:szCs w:val="20"/>
        </w:rPr>
        <w:t xml:space="preserve">, M., </w:t>
      </w:r>
      <w:proofErr w:type="spellStart"/>
      <w:r w:rsidR="0056450E" w:rsidRPr="007C262A">
        <w:rPr>
          <w:rFonts w:ascii="Times New Roman" w:eastAsia="Times New Roman" w:hAnsi="Times New Roman" w:cs="Times New Roman"/>
          <w:sz w:val="20"/>
          <w:szCs w:val="20"/>
        </w:rPr>
        <w:t>Indarti</w:t>
      </w:r>
      <w:proofErr w:type="spellEnd"/>
      <w:r w:rsidR="0056450E" w:rsidRPr="007C262A">
        <w:rPr>
          <w:rFonts w:ascii="Times New Roman" w:eastAsia="Times New Roman" w:hAnsi="Times New Roman" w:cs="Times New Roman"/>
          <w:sz w:val="20"/>
          <w:szCs w:val="20"/>
        </w:rPr>
        <w:t xml:space="preserve">, K., </w:t>
      </w:r>
      <w:proofErr w:type="spellStart"/>
      <w:r w:rsidR="0056450E" w:rsidRPr="007C262A">
        <w:rPr>
          <w:rFonts w:ascii="Times New Roman" w:eastAsia="Times New Roman" w:hAnsi="Times New Roman" w:cs="Times New Roman"/>
          <w:sz w:val="20"/>
          <w:szCs w:val="20"/>
        </w:rPr>
        <w:t>Pamungkas</w:t>
      </w:r>
      <w:proofErr w:type="spellEnd"/>
      <w:r w:rsidR="0056450E" w:rsidRPr="007C262A">
        <w:rPr>
          <w:rFonts w:ascii="Times New Roman" w:eastAsia="Times New Roman" w:hAnsi="Times New Roman" w:cs="Times New Roman"/>
          <w:sz w:val="20"/>
          <w:szCs w:val="20"/>
        </w:rPr>
        <w:t xml:space="preserve">, I. D., </w:t>
      </w:r>
      <w:proofErr w:type="spellStart"/>
      <w:r w:rsidR="0056450E" w:rsidRPr="007C262A">
        <w:rPr>
          <w:rFonts w:ascii="Times New Roman" w:eastAsia="Times New Roman" w:hAnsi="Times New Roman" w:cs="Times New Roman"/>
          <w:sz w:val="20"/>
          <w:szCs w:val="20"/>
        </w:rPr>
        <w:t>Widiatmoko</w:t>
      </w:r>
      <w:proofErr w:type="spellEnd"/>
      <w:r w:rsidR="0056450E" w:rsidRPr="007C262A">
        <w:rPr>
          <w:rFonts w:ascii="Times New Roman" w:eastAsia="Times New Roman" w:hAnsi="Times New Roman" w:cs="Times New Roman"/>
          <w:sz w:val="20"/>
          <w:szCs w:val="20"/>
        </w:rPr>
        <w:t xml:space="preserve">, J., </w:t>
      </w:r>
      <w:proofErr w:type="spellStart"/>
      <w:r w:rsidR="0056450E" w:rsidRPr="007C262A">
        <w:rPr>
          <w:rFonts w:ascii="Times New Roman" w:eastAsia="Times New Roman" w:hAnsi="Times New Roman" w:cs="Times New Roman"/>
          <w:sz w:val="20"/>
          <w:szCs w:val="20"/>
        </w:rPr>
        <w:t>Goreti</w:t>
      </w:r>
      <w:proofErr w:type="spellEnd"/>
      <w:r w:rsidR="0056450E" w:rsidRPr="007C262A">
        <w:rPr>
          <w:rFonts w:ascii="Times New Roman" w:eastAsia="Times New Roman" w:hAnsi="Times New Roman" w:cs="Times New Roman"/>
          <w:sz w:val="20"/>
          <w:szCs w:val="20"/>
        </w:rPr>
        <w:t xml:space="preserve">, M., </w:t>
      </w:r>
      <w:proofErr w:type="spellStart"/>
      <w:r w:rsidR="0056450E" w:rsidRPr="007C262A">
        <w:rPr>
          <w:rFonts w:ascii="Times New Roman" w:eastAsia="Times New Roman" w:hAnsi="Times New Roman" w:cs="Times New Roman"/>
          <w:sz w:val="20"/>
          <w:szCs w:val="20"/>
        </w:rPr>
        <w:t>Indarti</w:t>
      </w:r>
      <w:proofErr w:type="spellEnd"/>
      <w:r w:rsidR="0056450E" w:rsidRPr="007C262A">
        <w:rPr>
          <w:rFonts w:ascii="Times New Roman" w:eastAsia="Times New Roman" w:hAnsi="Times New Roman" w:cs="Times New Roman"/>
          <w:sz w:val="20"/>
          <w:szCs w:val="20"/>
        </w:rPr>
        <w:t xml:space="preserve">, K., &amp; </w:t>
      </w:r>
      <w:proofErr w:type="spellStart"/>
      <w:r w:rsidR="0056450E" w:rsidRPr="007C262A">
        <w:rPr>
          <w:rFonts w:ascii="Times New Roman" w:eastAsia="Times New Roman" w:hAnsi="Times New Roman" w:cs="Times New Roman"/>
          <w:sz w:val="20"/>
          <w:szCs w:val="20"/>
        </w:rPr>
        <w:t>Pamungkas</w:t>
      </w:r>
      <w:proofErr w:type="spellEnd"/>
      <w:r w:rsidR="0056450E" w:rsidRPr="007C262A">
        <w:rPr>
          <w:rFonts w:ascii="Times New Roman" w:eastAsia="Times New Roman" w:hAnsi="Times New Roman" w:cs="Times New Roman"/>
          <w:sz w:val="20"/>
          <w:szCs w:val="20"/>
        </w:rPr>
        <w:t xml:space="preserve">, I. D. (2020). </w:t>
      </w:r>
      <w:proofErr w:type="gramStart"/>
      <w:r w:rsidR="0056450E" w:rsidRPr="007C262A">
        <w:rPr>
          <w:rFonts w:ascii="Times New Roman" w:eastAsia="Times New Roman" w:hAnsi="Times New Roman" w:cs="Times New Roman"/>
          <w:sz w:val="20"/>
          <w:szCs w:val="20"/>
        </w:rPr>
        <w:t>Corporate governance on intellectual capital disclosure and market capitalization.</w:t>
      </w:r>
      <w:proofErr w:type="gramEnd"/>
      <w:r w:rsidR="0056450E" w:rsidRPr="007C262A">
        <w:rPr>
          <w:rFonts w:ascii="Times New Roman" w:eastAsia="Times New Roman" w:hAnsi="Times New Roman" w:cs="Times New Roman"/>
          <w:sz w:val="20"/>
          <w:szCs w:val="20"/>
        </w:rPr>
        <w:t xml:space="preserve"> </w:t>
      </w:r>
      <w:r w:rsidR="0056450E" w:rsidRPr="007C262A">
        <w:rPr>
          <w:rFonts w:ascii="Times New Roman" w:eastAsia="Times New Roman" w:hAnsi="Times New Roman" w:cs="Times New Roman"/>
          <w:i/>
          <w:sz w:val="20"/>
          <w:szCs w:val="20"/>
        </w:rPr>
        <w:t>Cogent Business &amp; Management</w:t>
      </w:r>
      <w:r w:rsidR="0056450E" w:rsidRPr="007C262A">
        <w:rPr>
          <w:rFonts w:ascii="Times New Roman" w:eastAsia="Times New Roman" w:hAnsi="Times New Roman" w:cs="Times New Roman"/>
          <w:sz w:val="20"/>
          <w:szCs w:val="20"/>
        </w:rPr>
        <w:t xml:space="preserve">, </w:t>
      </w:r>
      <w:r w:rsidR="0056450E" w:rsidRPr="007C262A">
        <w:rPr>
          <w:rFonts w:ascii="Times New Roman" w:eastAsia="Times New Roman" w:hAnsi="Times New Roman" w:cs="Times New Roman"/>
          <w:i/>
          <w:sz w:val="20"/>
          <w:szCs w:val="20"/>
        </w:rPr>
        <w:t>7</w:t>
      </w:r>
      <w:r w:rsidR="0056450E" w:rsidRPr="007C262A">
        <w:rPr>
          <w:rFonts w:ascii="Times New Roman" w:eastAsia="Times New Roman" w:hAnsi="Times New Roman" w:cs="Times New Roman"/>
          <w:sz w:val="20"/>
          <w:szCs w:val="20"/>
        </w:rPr>
        <w:t>(1)</w:t>
      </w:r>
      <w:proofErr w:type="gramStart"/>
      <w:r w:rsidR="0056450E" w:rsidRPr="007C262A">
        <w:rPr>
          <w:rFonts w:ascii="Times New Roman" w:eastAsia="Times New Roman" w:hAnsi="Times New Roman" w:cs="Times New Roman"/>
          <w:sz w:val="20"/>
          <w:szCs w:val="20"/>
        </w:rPr>
        <w:t>.,</w:t>
      </w:r>
      <w:proofErr w:type="gramEnd"/>
      <w:r w:rsidR="0056450E" w:rsidRPr="007C262A">
        <w:rPr>
          <w:rFonts w:ascii="Times New Roman" w:eastAsia="Times New Roman" w:hAnsi="Times New Roman" w:cs="Times New Roman"/>
          <w:sz w:val="20"/>
          <w:szCs w:val="20"/>
        </w:rPr>
        <w:t xml:space="preserve"> 212-238. </w:t>
      </w:r>
      <w:hyperlink r:id="rId20">
        <w:r w:rsidR="0056450E" w:rsidRPr="007C262A">
          <w:rPr>
            <w:rFonts w:ascii="Times New Roman" w:eastAsia="Times New Roman" w:hAnsi="Times New Roman" w:cs="Times New Roman"/>
            <w:color w:val="000000"/>
            <w:sz w:val="20"/>
            <w:szCs w:val="20"/>
            <w:u w:val="single"/>
          </w:rPr>
          <w:t>https://doi.org/10.1080/23311975.2020.1750332</w:t>
        </w:r>
      </w:hyperlink>
    </w:p>
    <w:p w:rsidR="00D3058A" w:rsidRPr="007C262A" w:rsidRDefault="007C262A" w:rsidP="007C262A">
      <w:pPr>
        <w:spacing w:after="0" w:line="240" w:lineRule="auto"/>
        <w:ind w:left="360" w:hanging="360"/>
        <w:rPr>
          <w:rFonts w:ascii="Times New Roman" w:eastAsia="Times New Roman" w:hAnsi="Times New Roman" w:cs="Times New Roman"/>
          <w:sz w:val="20"/>
          <w:szCs w:val="20"/>
        </w:rPr>
      </w:pPr>
      <w:r w:rsidRPr="007C262A">
        <w:rPr>
          <w:rFonts w:ascii="Times New Roman" w:eastAsia="Times New Roman" w:hAnsi="Times New Roman" w:cs="Times New Roman"/>
          <w:sz w:val="20"/>
          <w:szCs w:val="20"/>
        </w:rPr>
        <w:t xml:space="preserve">[29] </w:t>
      </w:r>
      <w:r w:rsidR="0056450E" w:rsidRPr="007C262A">
        <w:rPr>
          <w:rFonts w:ascii="Times New Roman" w:eastAsia="Times New Roman" w:hAnsi="Times New Roman" w:cs="Times New Roman"/>
          <w:sz w:val="20"/>
          <w:szCs w:val="20"/>
        </w:rPr>
        <w:t xml:space="preserve">Xu, S., Chen, X., Li, A., &amp; Xia, X. (2020). </w:t>
      </w:r>
      <w:proofErr w:type="gramStart"/>
      <w:r w:rsidR="0056450E" w:rsidRPr="007C262A">
        <w:rPr>
          <w:rFonts w:ascii="Times New Roman" w:eastAsia="Times New Roman" w:hAnsi="Times New Roman" w:cs="Times New Roman"/>
          <w:sz w:val="20"/>
          <w:szCs w:val="20"/>
        </w:rPr>
        <w:t>Disclosure for whom?</w:t>
      </w:r>
      <w:proofErr w:type="gramEnd"/>
      <w:r w:rsidR="0056450E" w:rsidRPr="007C262A">
        <w:rPr>
          <w:rFonts w:ascii="Times New Roman" w:eastAsia="Times New Roman" w:hAnsi="Times New Roman" w:cs="Times New Roman"/>
          <w:sz w:val="20"/>
          <w:szCs w:val="20"/>
        </w:rPr>
        <w:t xml:space="preserve"> </w:t>
      </w:r>
      <w:proofErr w:type="gramStart"/>
      <w:r w:rsidR="0056450E" w:rsidRPr="007C262A">
        <w:rPr>
          <w:rFonts w:ascii="Times New Roman" w:eastAsia="Times New Roman" w:hAnsi="Times New Roman" w:cs="Times New Roman"/>
          <w:sz w:val="20"/>
          <w:szCs w:val="20"/>
        </w:rPr>
        <w:t>Government involvement, CSR disclosure and firm value.</w:t>
      </w:r>
      <w:proofErr w:type="gramEnd"/>
      <w:r w:rsidR="0056450E" w:rsidRPr="007C262A">
        <w:rPr>
          <w:rFonts w:ascii="Times New Roman" w:eastAsia="Times New Roman" w:hAnsi="Times New Roman" w:cs="Times New Roman"/>
          <w:sz w:val="20"/>
          <w:szCs w:val="20"/>
        </w:rPr>
        <w:t xml:space="preserve"> </w:t>
      </w:r>
      <w:proofErr w:type="gramStart"/>
      <w:r w:rsidR="0056450E" w:rsidRPr="007C262A">
        <w:rPr>
          <w:rFonts w:ascii="Times New Roman" w:eastAsia="Times New Roman" w:hAnsi="Times New Roman" w:cs="Times New Roman"/>
          <w:i/>
          <w:sz w:val="20"/>
          <w:szCs w:val="20"/>
        </w:rPr>
        <w:t>Journal of Emerging Markets Review</w:t>
      </w:r>
      <w:r w:rsidR="0056450E" w:rsidRPr="007C262A">
        <w:rPr>
          <w:rFonts w:ascii="Times New Roman" w:eastAsia="Times New Roman" w:hAnsi="Times New Roman" w:cs="Times New Roman"/>
          <w:sz w:val="20"/>
          <w:szCs w:val="20"/>
        </w:rPr>
        <w:t>, 44(C).</w:t>
      </w:r>
      <w:proofErr w:type="gramEnd"/>
      <w:r w:rsidR="0056450E" w:rsidRPr="007C262A">
        <w:rPr>
          <w:rFonts w:ascii="Times New Roman" w:eastAsia="Times New Roman" w:hAnsi="Times New Roman" w:cs="Times New Roman"/>
          <w:sz w:val="20"/>
          <w:szCs w:val="20"/>
        </w:rPr>
        <w:t xml:space="preserve"> 100717. </w:t>
      </w:r>
      <w:hyperlink r:id="rId21">
        <w:r w:rsidR="0056450E" w:rsidRPr="007C262A">
          <w:rPr>
            <w:rFonts w:ascii="Times New Roman" w:eastAsia="Times New Roman" w:hAnsi="Times New Roman" w:cs="Times New Roman"/>
            <w:color w:val="000000"/>
            <w:sz w:val="20"/>
            <w:szCs w:val="20"/>
            <w:u w:val="single"/>
          </w:rPr>
          <w:t>https://doi.org/10.1016/j.ememar.2020.100717</w:t>
        </w:r>
      </w:hyperlink>
    </w:p>
    <w:p w:rsidR="00D3058A" w:rsidRDefault="007C262A" w:rsidP="007C262A">
      <w:pPr>
        <w:spacing w:after="0" w:line="240" w:lineRule="auto"/>
        <w:ind w:left="450" w:hanging="450"/>
        <w:rPr>
          <w:rFonts w:ascii="Times New Roman" w:eastAsia="Times New Roman" w:hAnsi="Times New Roman" w:cs="Times New Roman"/>
          <w:color w:val="000000"/>
          <w:sz w:val="20"/>
          <w:szCs w:val="20"/>
          <w:u w:val="single"/>
        </w:rPr>
      </w:pPr>
      <w:r w:rsidRPr="007C262A">
        <w:rPr>
          <w:rFonts w:ascii="Times New Roman" w:eastAsia="Times New Roman" w:hAnsi="Times New Roman" w:cs="Times New Roman"/>
          <w:sz w:val="20"/>
          <w:szCs w:val="20"/>
        </w:rPr>
        <w:t xml:space="preserve">[30] </w:t>
      </w:r>
      <w:r w:rsidR="0056450E" w:rsidRPr="007C262A">
        <w:rPr>
          <w:rFonts w:ascii="Times New Roman" w:eastAsia="Times New Roman" w:hAnsi="Times New Roman" w:cs="Times New Roman"/>
          <w:sz w:val="20"/>
          <w:szCs w:val="20"/>
        </w:rPr>
        <w:t xml:space="preserve">Yoon, B., Lee, J.W., &amp; Byun, R. (2018). Does ESG Performance Enhance Firm Value? </w:t>
      </w:r>
      <w:proofErr w:type="gramStart"/>
      <w:r w:rsidR="0056450E" w:rsidRPr="007C262A">
        <w:rPr>
          <w:rFonts w:ascii="Times New Roman" w:eastAsia="Times New Roman" w:hAnsi="Times New Roman" w:cs="Times New Roman"/>
          <w:sz w:val="20"/>
          <w:szCs w:val="20"/>
        </w:rPr>
        <w:t>Evidence from Korea.</w:t>
      </w:r>
      <w:proofErr w:type="gramEnd"/>
      <w:r w:rsidR="0056450E" w:rsidRPr="007C262A">
        <w:rPr>
          <w:rFonts w:ascii="Times New Roman" w:eastAsia="Times New Roman" w:hAnsi="Times New Roman" w:cs="Times New Roman"/>
          <w:i/>
          <w:sz w:val="20"/>
          <w:szCs w:val="20"/>
        </w:rPr>
        <w:t xml:space="preserve"> Sustainability 2018, 10</w:t>
      </w:r>
      <w:r w:rsidR="0056450E" w:rsidRPr="007C262A">
        <w:rPr>
          <w:rFonts w:ascii="Times New Roman" w:eastAsia="Times New Roman" w:hAnsi="Times New Roman" w:cs="Times New Roman"/>
          <w:sz w:val="20"/>
          <w:szCs w:val="20"/>
        </w:rPr>
        <w:t xml:space="preserve">(10), 3635; </w:t>
      </w:r>
      <w:hyperlink r:id="rId22">
        <w:r w:rsidR="0056450E" w:rsidRPr="007C262A">
          <w:rPr>
            <w:rFonts w:ascii="Times New Roman" w:eastAsia="Times New Roman" w:hAnsi="Times New Roman" w:cs="Times New Roman"/>
            <w:color w:val="000000"/>
            <w:sz w:val="20"/>
            <w:szCs w:val="20"/>
            <w:u w:val="single"/>
          </w:rPr>
          <w:t>https://doi.org/10.3390/su10103635</w:t>
        </w:r>
      </w:hyperlink>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5D2CDF" w:rsidRDefault="005D2CDF" w:rsidP="00235969">
      <w:pPr>
        <w:spacing w:line="240" w:lineRule="auto"/>
        <w:rPr>
          <w:rFonts w:ascii="Times New Roman" w:eastAsia="Times New Roman" w:hAnsi="Times New Roman" w:cs="Times New Roman"/>
          <w:b/>
          <w:sz w:val="20"/>
          <w:szCs w:val="20"/>
        </w:rPr>
      </w:pPr>
    </w:p>
    <w:p w:rsidR="00D3058A" w:rsidRPr="00235969" w:rsidRDefault="0056450E" w:rsidP="00235969">
      <w:pPr>
        <w:spacing w:line="240" w:lineRule="auto"/>
        <w:rPr>
          <w:rFonts w:ascii="Times New Roman" w:eastAsia="Times New Roman" w:hAnsi="Times New Roman" w:cs="Times New Roman"/>
          <w:b/>
          <w:sz w:val="20"/>
          <w:szCs w:val="20"/>
        </w:rPr>
      </w:pPr>
      <w:r w:rsidRPr="00235969">
        <w:rPr>
          <w:rFonts w:ascii="Times New Roman" w:eastAsia="Times New Roman" w:hAnsi="Times New Roman" w:cs="Times New Roman"/>
          <w:b/>
          <w:sz w:val="20"/>
          <w:szCs w:val="20"/>
        </w:rPr>
        <w:lastRenderedPageBreak/>
        <w:t xml:space="preserve">APPENDIX </w:t>
      </w:r>
    </w:p>
    <w:p w:rsidR="00D3058A" w:rsidRPr="00235969" w:rsidRDefault="00D3058A">
      <w:pPr>
        <w:spacing w:line="240" w:lineRule="auto"/>
        <w:jc w:val="center"/>
        <w:rPr>
          <w:rFonts w:ascii="Times New Roman" w:hAnsi="Times New Roman" w:cs="Times New Roman"/>
          <w:b/>
          <w:sz w:val="20"/>
          <w:szCs w:val="20"/>
        </w:rPr>
      </w:pPr>
    </w:p>
    <w:p w:rsidR="00D3058A" w:rsidRPr="00235969" w:rsidRDefault="0056450E">
      <w:pPr>
        <w:spacing w:before="240" w:after="0" w:line="276" w:lineRule="auto"/>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 xml:space="preserve">Table 1: Sampled Firms and their Industries </w:t>
      </w:r>
    </w:p>
    <w:tbl>
      <w:tblPr>
        <w:tblStyle w:val="a6"/>
        <w:tblW w:w="774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505"/>
        <w:gridCol w:w="4235"/>
      </w:tblGrid>
      <w:tr w:rsidR="00D3058A" w:rsidRPr="00235969">
        <w:trPr>
          <w:trHeight w:val="242"/>
        </w:trPr>
        <w:tc>
          <w:tcPr>
            <w:tcW w:w="3505" w:type="dxa"/>
            <w:tcBorders>
              <w:bottom w:val="single" w:sz="4" w:space="0" w:color="000000"/>
            </w:tcBorders>
            <w:shd w:val="clear" w:color="auto" w:fill="AEAAAA"/>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 xml:space="preserve">Industry </w:t>
            </w:r>
          </w:p>
        </w:tc>
        <w:tc>
          <w:tcPr>
            <w:tcW w:w="4235" w:type="dxa"/>
            <w:tcBorders>
              <w:bottom w:val="single" w:sz="4" w:space="0" w:color="000000"/>
            </w:tcBorders>
            <w:shd w:val="clear" w:color="auto" w:fill="AEAAAA"/>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Firms</w:t>
            </w:r>
          </w:p>
        </w:tc>
      </w:tr>
      <w:tr w:rsidR="00D3058A" w:rsidRPr="00235969">
        <w:tc>
          <w:tcPr>
            <w:tcW w:w="3505" w:type="dxa"/>
            <w:vMerge w:val="restart"/>
            <w:tcBorders>
              <w:bottom w:val="nil"/>
            </w:tcBorders>
          </w:tcPr>
          <w:p w:rsidR="00D3058A" w:rsidRPr="00235969" w:rsidRDefault="00D3058A">
            <w:pPr>
              <w:spacing w:line="276" w:lineRule="auto"/>
              <w:jc w:val="both"/>
              <w:rPr>
                <w:rFonts w:ascii="Times New Roman" w:eastAsia="Times New Roman" w:hAnsi="Times New Roman" w:cs="Times New Roman"/>
                <w:sz w:val="20"/>
                <w:szCs w:val="20"/>
              </w:rPr>
            </w:pPr>
          </w:p>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Alcoholic beverage</w:t>
            </w:r>
          </w:p>
        </w:tc>
        <w:tc>
          <w:tcPr>
            <w:tcW w:w="4235" w:type="dxa"/>
            <w:tcBorders>
              <w:bottom w:val="nil"/>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International Breweries Plc.</w:t>
            </w:r>
          </w:p>
        </w:tc>
      </w:tr>
      <w:tr w:rsidR="00D3058A" w:rsidRPr="00235969">
        <w:tc>
          <w:tcPr>
            <w:tcW w:w="3505" w:type="dxa"/>
            <w:vMerge/>
            <w:tcBorders>
              <w:bottom w:val="nil"/>
            </w:tcBorders>
          </w:tcPr>
          <w:p w:rsidR="00D3058A" w:rsidRPr="00235969" w:rsidRDefault="00D3058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235" w:type="dxa"/>
            <w:tcBorders>
              <w:top w:val="nil"/>
              <w:bottom w:val="nil"/>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Guinness Nig. Plc.</w:t>
            </w:r>
          </w:p>
        </w:tc>
      </w:tr>
      <w:tr w:rsidR="00D3058A" w:rsidRPr="00235969">
        <w:tc>
          <w:tcPr>
            <w:tcW w:w="3505" w:type="dxa"/>
            <w:vMerge/>
            <w:tcBorders>
              <w:bottom w:val="nil"/>
            </w:tcBorders>
          </w:tcPr>
          <w:p w:rsidR="00D3058A" w:rsidRPr="00235969" w:rsidRDefault="00D3058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235" w:type="dxa"/>
            <w:tcBorders>
              <w:top w:val="nil"/>
              <w:bottom w:val="nil"/>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Champion Breweries</w:t>
            </w:r>
          </w:p>
        </w:tc>
      </w:tr>
      <w:tr w:rsidR="00D3058A" w:rsidRPr="00235969">
        <w:tc>
          <w:tcPr>
            <w:tcW w:w="3505" w:type="dxa"/>
            <w:vMerge/>
            <w:tcBorders>
              <w:bottom w:val="nil"/>
            </w:tcBorders>
          </w:tcPr>
          <w:p w:rsidR="00D3058A" w:rsidRPr="00235969" w:rsidRDefault="00D3058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235" w:type="dxa"/>
            <w:tcBorders>
              <w:top w:val="nil"/>
              <w:bottom w:val="single" w:sz="4" w:space="0" w:color="000000"/>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Nigerian Breweries</w:t>
            </w:r>
          </w:p>
        </w:tc>
      </w:tr>
      <w:tr w:rsidR="00D3058A" w:rsidRPr="00235969">
        <w:tc>
          <w:tcPr>
            <w:tcW w:w="3505" w:type="dxa"/>
            <w:vMerge w:val="restart"/>
            <w:tcBorders>
              <w:bottom w:val="nil"/>
            </w:tcBorders>
          </w:tcPr>
          <w:p w:rsidR="00D3058A" w:rsidRPr="00235969" w:rsidRDefault="00D3058A">
            <w:pPr>
              <w:spacing w:line="276" w:lineRule="auto"/>
              <w:jc w:val="both"/>
              <w:rPr>
                <w:rFonts w:ascii="Times New Roman" w:eastAsia="Times New Roman" w:hAnsi="Times New Roman" w:cs="Times New Roman"/>
                <w:sz w:val="20"/>
                <w:szCs w:val="20"/>
              </w:rPr>
            </w:pPr>
          </w:p>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Conglomerate</w:t>
            </w:r>
          </w:p>
        </w:tc>
        <w:tc>
          <w:tcPr>
            <w:tcW w:w="4235" w:type="dxa"/>
            <w:tcBorders>
              <w:bottom w:val="nil"/>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Dangote</w:t>
            </w:r>
          </w:p>
        </w:tc>
      </w:tr>
      <w:tr w:rsidR="00D3058A" w:rsidRPr="00235969">
        <w:tc>
          <w:tcPr>
            <w:tcW w:w="3505" w:type="dxa"/>
            <w:vMerge/>
            <w:tcBorders>
              <w:bottom w:val="nil"/>
            </w:tcBorders>
          </w:tcPr>
          <w:p w:rsidR="00D3058A" w:rsidRPr="00235969" w:rsidRDefault="00D3058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235" w:type="dxa"/>
            <w:tcBorders>
              <w:top w:val="nil"/>
              <w:bottom w:val="single" w:sz="4" w:space="0" w:color="000000"/>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Honeywell</w:t>
            </w:r>
          </w:p>
        </w:tc>
      </w:tr>
      <w:tr w:rsidR="00D3058A" w:rsidRPr="00235969">
        <w:tc>
          <w:tcPr>
            <w:tcW w:w="3505" w:type="dxa"/>
            <w:vMerge w:val="restart"/>
            <w:tcBorders>
              <w:bottom w:val="nil"/>
            </w:tcBorders>
          </w:tcPr>
          <w:p w:rsidR="00D3058A" w:rsidRPr="00235969" w:rsidRDefault="00D3058A">
            <w:pPr>
              <w:spacing w:line="276" w:lineRule="auto"/>
              <w:jc w:val="both"/>
              <w:rPr>
                <w:rFonts w:ascii="Times New Roman" w:eastAsia="Times New Roman" w:hAnsi="Times New Roman" w:cs="Times New Roman"/>
                <w:sz w:val="20"/>
                <w:szCs w:val="20"/>
              </w:rPr>
            </w:pPr>
          </w:p>
          <w:p w:rsidR="00D3058A" w:rsidRPr="00235969" w:rsidRDefault="00D3058A">
            <w:pPr>
              <w:spacing w:line="276" w:lineRule="auto"/>
              <w:jc w:val="both"/>
              <w:rPr>
                <w:rFonts w:ascii="Times New Roman" w:eastAsia="Times New Roman" w:hAnsi="Times New Roman" w:cs="Times New Roman"/>
                <w:sz w:val="20"/>
                <w:szCs w:val="20"/>
              </w:rPr>
            </w:pPr>
          </w:p>
          <w:p w:rsidR="00D3058A" w:rsidRPr="00235969" w:rsidRDefault="00D3058A">
            <w:pPr>
              <w:spacing w:line="276" w:lineRule="auto"/>
              <w:jc w:val="both"/>
              <w:rPr>
                <w:rFonts w:ascii="Times New Roman" w:eastAsia="Times New Roman" w:hAnsi="Times New Roman" w:cs="Times New Roman"/>
                <w:sz w:val="20"/>
                <w:szCs w:val="20"/>
              </w:rPr>
            </w:pPr>
          </w:p>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Food and agro</w:t>
            </w:r>
            <w:r w:rsidRPr="00235969">
              <w:rPr>
                <w:rFonts w:ascii="Times New Roman" w:hAnsi="Times New Roman" w:cs="Times New Roman"/>
                <w:sz w:val="20"/>
                <w:szCs w:val="20"/>
              </w:rPr>
              <w:t>-</w:t>
            </w:r>
            <w:r w:rsidRPr="00235969">
              <w:rPr>
                <w:rFonts w:ascii="Times New Roman" w:eastAsia="Times New Roman" w:hAnsi="Times New Roman" w:cs="Times New Roman"/>
                <w:sz w:val="20"/>
                <w:szCs w:val="20"/>
              </w:rPr>
              <w:t>allied</w:t>
            </w:r>
          </w:p>
        </w:tc>
        <w:tc>
          <w:tcPr>
            <w:tcW w:w="4235" w:type="dxa"/>
            <w:tcBorders>
              <w:bottom w:val="nil"/>
            </w:tcBorders>
          </w:tcPr>
          <w:p w:rsidR="00D3058A" w:rsidRPr="00235969" w:rsidRDefault="0056450E">
            <w:pPr>
              <w:spacing w:line="276" w:lineRule="auto"/>
              <w:jc w:val="both"/>
              <w:rPr>
                <w:rFonts w:ascii="Times New Roman" w:eastAsia="Times New Roman" w:hAnsi="Times New Roman" w:cs="Times New Roman"/>
                <w:sz w:val="20"/>
                <w:szCs w:val="20"/>
              </w:rPr>
            </w:pPr>
            <w:proofErr w:type="spellStart"/>
            <w:r w:rsidRPr="00235969">
              <w:rPr>
                <w:rFonts w:ascii="Times New Roman" w:eastAsia="Times New Roman" w:hAnsi="Times New Roman" w:cs="Times New Roman"/>
                <w:sz w:val="20"/>
                <w:szCs w:val="20"/>
              </w:rPr>
              <w:t>Nascon</w:t>
            </w:r>
            <w:proofErr w:type="spellEnd"/>
            <w:r w:rsidRPr="00235969">
              <w:rPr>
                <w:rFonts w:ascii="Times New Roman" w:eastAsia="Times New Roman" w:hAnsi="Times New Roman" w:cs="Times New Roman"/>
                <w:sz w:val="20"/>
                <w:szCs w:val="20"/>
              </w:rPr>
              <w:t xml:space="preserve"> Allied Int. Plc.</w:t>
            </w:r>
          </w:p>
        </w:tc>
      </w:tr>
      <w:tr w:rsidR="00D3058A" w:rsidRPr="00235969">
        <w:tc>
          <w:tcPr>
            <w:tcW w:w="3505" w:type="dxa"/>
            <w:vMerge/>
            <w:tcBorders>
              <w:bottom w:val="nil"/>
            </w:tcBorders>
          </w:tcPr>
          <w:p w:rsidR="00D3058A" w:rsidRPr="00235969" w:rsidRDefault="00D3058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235" w:type="dxa"/>
            <w:tcBorders>
              <w:top w:val="nil"/>
              <w:bottom w:val="nil"/>
            </w:tcBorders>
          </w:tcPr>
          <w:p w:rsidR="00D3058A" w:rsidRPr="00235969" w:rsidRDefault="0056450E">
            <w:pPr>
              <w:spacing w:line="276" w:lineRule="auto"/>
              <w:jc w:val="both"/>
              <w:rPr>
                <w:rFonts w:ascii="Times New Roman" w:eastAsia="Times New Roman" w:hAnsi="Times New Roman" w:cs="Times New Roman"/>
                <w:sz w:val="20"/>
                <w:szCs w:val="20"/>
              </w:rPr>
            </w:pPr>
            <w:proofErr w:type="spellStart"/>
            <w:r w:rsidRPr="00235969">
              <w:rPr>
                <w:rFonts w:ascii="Times New Roman" w:eastAsia="Times New Roman" w:hAnsi="Times New Roman" w:cs="Times New Roman"/>
                <w:sz w:val="20"/>
                <w:szCs w:val="20"/>
              </w:rPr>
              <w:t>McNichols</w:t>
            </w:r>
            <w:proofErr w:type="spellEnd"/>
            <w:r w:rsidRPr="00235969">
              <w:rPr>
                <w:rFonts w:ascii="Times New Roman" w:eastAsia="Times New Roman" w:hAnsi="Times New Roman" w:cs="Times New Roman"/>
                <w:sz w:val="20"/>
                <w:szCs w:val="20"/>
              </w:rPr>
              <w:t xml:space="preserve"> Consolidated</w:t>
            </w:r>
          </w:p>
        </w:tc>
      </w:tr>
      <w:tr w:rsidR="00D3058A" w:rsidRPr="00235969">
        <w:tc>
          <w:tcPr>
            <w:tcW w:w="3505" w:type="dxa"/>
            <w:vMerge/>
            <w:tcBorders>
              <w:bottom w:val="nil"/>
            </w:tcBorders>
          </w:tcPr>
          <w:p w:rsidR="00D3058A" w:rsidRPr="00235969" w:rsidRDefault="00D3058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235" w:type="dxa"/>
            <w:tcBorders>
              <w:top w:val="nil"/>
              <w:bottom w:val="nil"/>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Nestle Nig. Plc.</w:t>
            </w:r>
          </w:p>
        </w:tc>
      </w:tr>
      <w:tr w:rsidR="00D3058A" w:rsidRPr="00235969">
        <w:tc>
          <w:tcPr>
            <w:tcW w:w="3505" w:type="dxa"/>
            <w:vMerge/>
            <w:tcBorders>
              <w:bottom w:val="nil"/>
            </w:tcBorders>
          </w:tcPr>
          <w:p w:rsidR="00D3058A" w:rsidRPr="00235969" w:rsidRDefault="00D3058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235" w:type="dxa"/>
            <w:tcBorders>
              <w:top w:val="nil"/>
              <w:bottom w:val="nil"/>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 xml:space="preserve">N </w:t>
            </w:r>
            <w:proofErr w:type="spellStart"/>
            <w:r w:rsidRPr="00235969">
              <w:rPr>
                <w:rFonts w:ascii="Times New Roman" w:eastAsia="Times New Roman" w:hAnsi="Times New Roman" w:cs="Times New Roman"/>
                <w:sz w:val="20"/>
                <w:szCs w:val="20"/>
              </w:rPr>
              <w:t>N</w:t>
            </w:r>
            <w:proofErr w:type="spellEnd"/>
            <w:r w:rsidRPr="00235969">
              <w:rPr>
                <w:rFonts w:ascii="Times New Roman" w:eastAsia="Times New Roman" w:hAnsi="Times New Roman" w:cs="Times New Roman"/>
                <w:sz w:val="20"/>
                <w:szCs w:val="20"/>
              </w:rPr>
              <w:t xml:space="preserve"> Flour Mills. Plc</w:t>
            </w:r>
          </w:p>
        </w:tc>
      </w:tr>
      <w:tr w:rsidR="00D3058A" w:rsidRPr="00235969">
        <w:tc>
          <w:tcPr>
            <w:tcW w:w="3505" w:type="dxa"/>
            <w:vMerge/>
            <w:tcBorders>
              <w:bottom w:val="nil"/>
            </w:tcBorders>
          </w:tcPr>
          <w:p w:rsidR="00D3058A" w:rsidRPr="00235969" w:rsidRDefault="00D3058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235" w:type="dxa"/>
            <w:tcBorders>
              <w:top w:val="nil"/>
              <w:bottom w:val="nil"/>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Flour mills</w:t>
            </w:r>
          </w:p>
        </w:tc>
      </w:tr>
      <w:tr w:rsidR="00D3058A" w:rsidRPr="00235969">
        <w:tc>
          <w:tcPr>
            <w:tcW w:w="3505" w:type="dxa"/>
            <w:vMerge/>
            <w:tcBorders>
              <w:bottom w:val="nil"/>
            </w:tcBorders>
          </w:tcPr>
          <w:p w:rsidR="00D3058A" w:rsidRPr="00235969" w:rsidRDefault="00D3058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235" w:type="dxa"/>
            <w:tcBorders>
              <w:top w:val="nil"/>
              <w:bottom w:val="single" w:sz="4" w:space="0" w:color="000000"/>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Multi</w:t>
            </w:r>
            <w:r w:rsidRPr="00235969">
              <w:rPr>
                <w:rFonts w:ascii="Times New Roman" w:hAnsi="Times New Roman" w:cs="Times New Roman"/>
                <w:sz w:val="20"/>
                <w:szCs w:val="20"/>
              </w:rPr>
              <w:t>-</w:t>
            </w:r>
            <w:proofErr w:type="spellStart"/>
            <w:r w:rsidRPr="00235969">
              <w:rPr>
                <w:rFonts w:ascii="Times New Roman" w:eastAsia="Times New Roman" w:hAnsi="Times New Roman" w:cs="Times New Roman"/>
                <w:sz w:val="20"/>
                <w:szCs w:val="20"/>
              </w:rPr>
              <w:t>Trex</w:t>
            </w:r>
            <w:proofErr w:type="spellEnd"/>
            <w:r w:rsidRPr="00235969">
              <w:rPr>
                <w:rFonts w:ascii="Times New Roman" w:eastAsia="Times New Roman" w:hAnsi="Times New Roman" w:cs="Times New Roman"/>
                <w:sz w:val="20"/>
                <w:szCs w:val="20"/>
              </w:rPr>
              <w:t xml:space="preserve"> Integrated</w:t>
            </w:r>
          </w:p>
        </w:tc>
      </w:tr>
      <w:tr w:rsidR="00D3058A" w:rsidRPr="00235969">
        <w:tc>
          <w:tcPr>
            <w:tcW w:w="3505" w:type="dxa"/>
            <w:tcBorders>
              <w:left w:val="nil"/>
              <w:bottom w:val="single" w:sz="4" w:space="0" w:color="000000"/>
              <w:right w:val="nil"/>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Confectionary</w:t>
            </w:r>
          </w:p>
        </w:tc>
        <w:tc>
          <w:tcPr>
            <w:tcW w:w="4235" w:type="dxa"/>
            <w:tcBorders>
              <w:left w:val="nil"/>
              <w:bottom w:val="single" w:sz="4" w:space="0" w:color="000000"/>
              <w:right w:val="nil"/>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Cadbury</w:t>
            </w:r>
          </w:p>
        </w:tc>
      </w:tr>
      <w:tr w:rsidR="00D3058A" w:rsidRPr="00235969">
        <w:tc>
          <w:tcPr>
            <w:tcW w:w="3505" w:type="dxa"/>
            <w:vMerge w:val="restart"/>
            <w:tcBorders>
              <w:left w:val="nil"/>
              <w:right w:val="nil"/>
            </w:tcBorders>
          </w:tcPr>
          <w:p w:rsidR="00D3058A" w:rsidRPr="00235969" w:rsidRDefault="00D3058A">
            <w:pPr>
              <w:spacing w:line="276" w:lineRule="auto"/>
              <w:jc w:val="both"/>
              <w:rPr>
                <w:rFonts w:ascii="Times New Roman" w:eastAsia="Times New Roman" w:hAnsi="Times New Roman" w:cs="Times New Roman"/>
                <w:sz w:val="20"/>
                <w:szCs w:val="20"/>
              </w:rPr>
            </w:pPr>
          </w:p>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Consumer goods</w:t>
            </w:r>
          </w:p>
        </w:tc>
        <w:tc>
          <w:tcPr>
            <w:tcW w:w="4235" w:type="dxa"/>
            <w:tcBorders>
              <w:left w:val="nil"/>
              <w:bottom w:val="nil"/>
              <w:right w:val="nil"/>
            </w:tcBorders>
          </w:tcPr>
          <w:p w:rsidR="00D3058A" w:rsidRPr="00235969" w:rsidRDefault="0056450E">
            <w:pPr>
              <w:spacing w:line="276" w:lineRule="auto"/>
              <w:jc w:val="both"/>
              <w:rPr>
                <w:rFonts w:ascii="Times New Roman" w:eastAsia="Times New Roman" w:hAnsi="Times New Roman" w:cs="Times New Roman"/>
                <w:sz w:val="20"/>
                <w:szCs w:val="20"/>
              </w:rPr>
            </w:pPr>
            <w:proofErr w:type="spellStart"/>
            <w:r w:rsidRPr="00235969">
              <w:rPr>
                <w:rFonts w:ascii="Times New Roman" w:eastAsia="Times New Roman" w:hAnsi="Times New Roman" w:cs="Times New Roman"/>
                <w:sz w:val="20"/>
                <w:szCs w:val="20"/>
              </w:rPr>
              <w:t>Vitafoam</w:t>
            </w:r>
            <w:proofErr w:type="spellEnd"/>
          </w:p>
        </w:tc>
      </w:tr>
      <w:tr w:rsidR="00D3058A" w:rsidRPr="00235969">
        <w:tc>
          <w:tcPr>
            <w:tcW w:w="3505" w:type="dxa"/>
            <w:vMerge/>
            <w:tcBorders>
              <w:left w:val="nil"/>
              <w:right w:val="nil"/>
            </w:tcBorders>
          </w:tcPr>
          <w:p w:rsidR="00D3058A" w:rsidRPr="00235969" w:rsidRDefault="00D3058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235" w:type="dxa"/>
            <w:tcBorders>
              <w:top w:val="nil"/>
              <w:left w:val="nil"/>
              <w:bottom w:val="nil"/>
              <w:right w:val="nil"/>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PZ</w:t>
            </w:r>
          </w:p>
        </w:tc>
      </w:tr>
      <w:tr w:rsidR="00D3058A" w:rsidRPr="00235969">
        <w:tc>
          <w:tcPr>
            <w:tcW w:w="3505" w:type="dxa"/>
            <w:vMerge/>
            <w:tcBorders>
              <w:left w:val="nil"/>
              <w:right w:val="nil"/>
            </w:tcBorders>
          </w:tcPr>
          <w:p w:rsidR="00D3058A" w:rsidRPr="00235969" w:rsidRDefault="00D3058A">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235" w:type="dxa"/>
            <w:tcBorders>
              <w:top w:val="nil"/>
              <w:left w:val="nil"/>
              <w:right w:val="nil"/>
            </w:tcBorders>
          </w:tcPr>
          <w:p w:rsidR="00D3058A" w:rsidRPr="00235969" w:rsidRDefault="0056450E">
            <w:pPr>
              <w:spacing w:line="276" w:lineRule="auto"/>
              <w:jc w:val="both"/>
              <w:rPr>
                <w:rFonts w:ascii="Times New Roman" w:eastAsia="Times New Roman" w:hAnsi="Times New Roman" w:cs="Times New Roman"/>
                <w:sz w:val="20"/>
                <w:szCs w:val="20"/>
              </w:rPr>
            </w:pPr>
            <w:r w:rsidRPr="00235969">
              <w:rPr>
                <w:rFonts w:ascii="Times New Roman" w:eastAsia="Times New Roman" w:hAnsi="Times New Roman" w:cs="Times New Roman"/>
                <w:sz w:val="20"/>
                <w:szCs w:val="20"/>
              </w:rPr>
              <w:t>Nigerian Enamelware Plc.3</w:t>
            </w:r>
          </w:p>
        </w:tc>
      </w:tr>
    </w:tbl>
    <w:p w:rsidR="00D3058A" w:rsidRPr="00235969" w:rsidRDefault="00D3058A">
      <w:pPr>
        <w:spacing w:after="0" w:line="360" w:lineRule="auto"/>
        <w:jc w:val="both"/>
        <w:rPr>
          <w:rFonts w:ascii="Times New Roman" w:eastAsia="Times New Roman" w:hAnsi="Times New Roman" w:cs="Times New Roman"/>
          <w:sz w:val="20"/>
          <w:szCs w:val="20"/>
        </w:rPr>
      </w:pPr>
    </w:p>
    <w:p w:rsidR="00D3058A" w:rsidRPr="00235969" w:rsidRDefault="00D3058A">
      <w:pPr>
        <w:jc w:val="both"/>
        <w:rPr>
          <w:rFonts w:ascii="Times New Roman" w:hAnsi="Times New Roman" w:cs="Times New Roman"/>
          <w:sz w:val="20"/>
          <w:szCs w:val="20"/>
        </w:rPr>
      </w:pPr>
    </w:p>
    <w:p w:rsidR="00D3058A" w:rsidRDefault="00D3058A">
      <w:pPr>
        <w:jc w:val="both"/>
      </w:pPr>
    </w:p>
    <w:p w:rsidR="007C262A" w:rsidRDefault="007C262A">
      <w:pPr>
        <w:jc w:val="both"/>
      </w:pPr>
    </w:p>
    <w:p w:rsidR="007C262A" w:rsidRDefault="007C262A">
      <w:pPr>
        <w:jc w:val="both"/>
      </w:pPr>
    </w:p>
    <w:p w:rsidR="007C262A" w:rsidRDefault="007C262A">
      <w:pPr>
        <w:jc w:val="both"/>
      </w:pPr>
    </w:p>
    <w:p w:rsidR="007C262A" w:rsidRDefault="007C262A">
      <w:pPr>
        <w:jc w:val="both"/>
      </w:pPr>
    </w:p>
    <w:p w:rsidR="007C262A" w:rsidRDefault="007C262A">
      <w:pPr>
        <w:jc w:val="both"/>
      </w:pPr>
    </w:p>
    <w:p w:rsidR="007C262A" w:rsidRDefault="007C262A">
      <w:pPr>
        <w:jc w:val="both"/>
      </w:pPr>
    </w:p>
    <w:p w:rsidR="007C262A" w:rsidRDefault="007C262A">
      <w:pPr>
        <w:jc w:val="both"/>
      </w:pPr>
    </w:p>
    <w:p w:rsidR="007C262A" w:rsidRDefault="007C262A">
      <w:pPr>
        <w:jc w:val="both"/>
      </w:pPr>
    </w:p>
    <w:p w:rsidR="007C262A" w:rsidRDefault="007C262A">
      <w:pPr>
        <w:jc w:val="both"/>
      </w:pPr>
    </w:p>
    <w:p w:rsidR="007C262A" w:rsidRDefault="007C262A">
      <w:pPr>
        <w:jc w:val="both"/>
      </w:pPr>
    </w:p>
    <w:p w:rsidR="007C262A" w:rsidRDefault="007C262A">
      <w:pPr>
        <w:jc w:val="both"/>
      </w:pPr>
    </w:p>
    <w:p w:rsidR="007C262A" w:rsidRDefault="007C262A">
      <w:pPr>
        <w:jc w:val="both"/>
      </w:pPr>
    </w:p>
    <w:sectPr w:rsidR="007C262A" w:rsidSect="005D2CDF">
      <w:footerReference w:type="default" r:id="rId23"/>
      <w:pgSz w:w="11909" w:h="16834"/>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5B5" w:rsidRDefault="009B15B5">
      <w:pPr>
        <w:spacing w:after="0" w:line="240" w:lineRule="auto"/>
      </w:pPr>
      <w:r>
        <w:separator/>
      </w:r>
    </w:p>
  </w:endnote>
  <w:endnote w:type="continuationSeparator" w:id="0">
    <w:p w:rsidR="009B15B5" w:rsidRDefault="009B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CDF" w:rsidRDefault="005D2CDF" w:rsidP="005D2CDF">
    <w:pPr>
      <w:ind w:right="567"/>
      <w:jc w:val="center"/>
      <w:rPr>
        <w:rFonts w:ascii="Times New Roman" w:hAnsi="Times New Roman" w:cs="Times New Roman"/>
        <w:i/>
        <w:iCs/>
        <w:sz w:val="18"/>
        <w:szCs w:val="18"/>
      </w:rPr>
    </w:pPr>
  </w:p>
  <w:p w:rsidR="005D2CDF" w:rsidRPr="005D2CDF" w:rsidRDefault="005D2CDF" w:rsidP="005D2CDF">
    <w:pPr>
      <w:tabs>
        <w:tab w:val="left" w:pos="9450"/>
        <w:tab w:val="left" w:pos="9630"/>
        <w:tab w:val="left" w:pos="9720"/>
      </w:tabs>
      <w:ind w:right="209"/>
      <w:rPr>
        <w:rFonts w:ascii="Times New Roman" w:eastAsia="Times" w:hAnsi="Times New Roman" w:cs="Times New Roman"/>
        <w:b/>
        <w:sz w:val="20"/>
        <w:szCs w:val="18"/>
      </w:rPr>
    </w:pPr>
    <w:r w:rsidRPr="005D2CDF">
      <w:rPr>
        <w:rFonts w:ascii="Times New Roman" w:hAnsi="Times New Roman" w:cs="Times New Roman"/>
        <w:b/>
        <w:i/>
        <w:iCs/>
        <w:sz w:val="20"/>
        <w:szCs w:val="18"/>
      </w:rPr>
      <w:t>American University of Nigeria, 2</w:t>
    </w:r>
    <w:r w:rsidRPr="005D2CDF">
      <w:rPr>
        <w:rFonts w:ascii="Times New Roman" w:hAnsi="Times New Roman" w:cs="Times New Roman"/>
        <w:b/>
        <w:i/>
        <w:iCs/>
        <w:sz w:val="20"/>
        <w:szCs w:val="18"/>
        <w:vertAlign w:val="superscript"/>
      </w:rPr>
      <w:t xml:space="preserve">nd </w:t>
    </w:r>
    <w:r w:rsidRPr="005D2CDF">
      <w:rPr>
        <w:rFonts w:ascii="Times New Roman" w:hAnsi="Times New Roman" w:cs="Times New Roman"/>
        <w:b/>
        <w:i/>
        <w:iCs/>
        <w:sz w:val="20"/>
        <w:szCs w:val="18"/>
      </w:rPr>
      <w:t>International Conference Proceeding, November 6-9, 2024, e-ISSN: 3027-0650</w:t>
    </w:r>
  </w:p>
  <w:p w:rsidR="005D2CDF" w:rsidRDefault="005D2CDF" w:rsidP="005D2CDF">
    <w:pPr>
      <w:pBdr>
        <w:top w:val="nil"/>
        <w:left w:val="nil"/>
        <w:bottom w:val="nil"/>
        <w:right w:val="nil"/>
        <w:between w:val="nil"/>
      </w:pBdr>
      <w:tabs>
        <w:tab w:val="center" w:pos="4680"/>
        <w:tab w:val="right" w:pos="9360"/>
      </w:tabs>
      <w:spacing w:after="0" w:line="240" w:lineRule="auto"/>
      <w:rPr>
        <w:color w:val="000000"/>
      </w:rPr>
    </w:pPr>
  </w:p>
  <w:p w:rsidR="0056450E" w:rsidRDefault="0056450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34EAE">
      <w:rPr>
        <w:noProof/>
        <w:color w:val="000000"/>
      </w:rPr>
      <w:t>1</w:t>
    </w:r>
    <w:r>
      <w:rPr>
        <w:color w:val="000000"/>
      </w:rPr>
      <w:fldChar w:fldCharType="end"/>
    </w:r>
  </w:p>
  <w:p w:rsidR="0056450E" w:rsidRDefault="0056450E">
    <w:pPr>
      <w:pBdr>
        <w:top w:val="nil"/>
        <w:left w:val="nil"/>
        <w:bottom w:val="nil"/>
        <w:right w:val="nil"/>
        <w:between w:val="nil"/>
      </w:pBdr>
      <w:tabs>
        <w:tab w:val="center" w:pos="4680"/>
        <w:tab w:val="right" w:pos="9360"/>
      </w:tabs>
      <w:spacing w:after="0" w:line="240" w:lineRule="auto"/>
      <w:rPr>
        <w:color w:val="000000"/>
      </w:rPr>
    </w:pPr>
  </w:p>
  <w:p w:rsidR="0056450E" w:rsidRDefault="005645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5B5" w:rsidRDefault="009B15B5">
      <w:pPr>
        <w:spacing w:after="0" w:line="240" w:lineRule="auto"/>
      </w:pPr>
      <w:r>
        <w:separator/>
      </w:r>
    </w:p>
  </w:footnote>
  <w:footnote w:type="continuationSeparator" w:id="0">
    <w:p w:rsidR="009B15B5" w:rsidRDefault="009B15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41EA2"/>
    <w:multiLevelType w:val="hybridMultilevel"/>
    <w:tmpl w:val="2BB64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C5038D"/>
    <w:multiLevelType w:val="multilevel"/>
    <w:tmpl w:val="D706ADA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2NzEwMzAxNzAwNDAyNTBW0lEKTi0uzszPAykwqQUAzH5UzywAAAA="/>
  </w:docVars>
  <w:rsids>
    <w:rsidRoot w:val="00D3058A"/>
    <w:rsid w:val="00172F6E"/>
    <w:rsid w:val="00235969"/>
    <w:rsid w:val="003A3D52"/>
    <w:rsid w:val="0056450E"/>
    <w:rsid w:val="005D2CDF"/>
    <w:rsid w:val="00634EAE"/>
    <w:rsid w:val="0067244B"/>
    <w:rsid w:val="007C262A"/>
    <w:rsid w:val="008B15B6"/>
    <w:rsid w:val="008B7D4A"/>
    <w:rsid w:val="009B15B5"/>
    <w:rsid w:val="00A64F0E"/>
    <w:rsid w:val="00D15C06"/>
    <w:rsid w:val="00D3058A"/>
    <w:rsid w:val="00DB0AD7"/>
    <w:rsid w:val="00FB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B2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51B28"/>
    <w:pPr>
      <w:ind w:left="720"/>
      <w:contextualSpacing/>
    </w:pPr>
  </w:style>
  <w:style w:type="paragraph" w:styleId="Header">
    <w:name w:val="header"/>
    <w:basedOn w:val="Normal"/>
    <w:link w:val="HeaderChar"/>
    <w:uiPriority w:val="99"/>
    <w:unhideWhenUsed/>
    <w:qFormat/>
    <w:rsid w:val="00E51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B28"/>
  </w:style>
  <w:style w:type="paragraph" w:styleId="Footer">
    <w:name w:val="footer"/>
    <w:basedOn w:val="Normal"/>
    <w:link w:val="FooterChar"/>
    <w:uiPriority w:val="99"/>
    <w:unhideWhenUsed/>
    <w:rsid w:val="00E51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B28"/>
  </w:style>
  <w:style w:type="character" w:styleId="Hyperlink">
    <w:name w:val="Hyperlink"/>
    <w:basedOn w:val="DefaultParagraphFont"/>
    <w:uiPriority w:val="99"/>
    <w:unhideWhenUsed/>
    <w:rsid w:val="00E51B28"/>
    <w:rPr>
      <w:color w:val="0563C1" w:themeColor="hyperlink"/>
      <w:u w:val="single"/>
    </w:rPr>
  </w:style>
  <w:style w:type="table" w:styleId="TableGrid">
    <w:name w:val="Table Grid"/>
    <w:basedOn w:val="TableNormal"/>
    <w:uiPriority w:val="39"/>
    <w:rsid w:val="00E51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1B28"/>
    <w:rPr>
      <w:color w:val="808080"/>
    </w:rPr>
  </w:style>
  <w:style w:type="character" w:customStyle="1" w:styleId="UnresolvedMention">
    <w:name w:val="Unresolved Mention"/>
    <w:basedOn w:val="DefaultParagraphFont"/>
    <w:uiPriority w:val="99"/>
    <w:semiHidden/>
    <w:unhideWhenUsed/>
    <w:rsid w:val="008F2AC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customStyle="1" w:styleId="Default">
    <w:name w:val="Default"/>
    <w:rsid w:val="0056450E"/>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alloonText">
    <w:name w:val="Balloon Text"/>
    <w:basedOn w:val="Normal"/>
    <w:link w:val="BalloonTextChar"/>
    <w:uiPriority w:val="99"/>
    <w:semiHidden/>
    <w:unhideWhenUsed/>
    <w:rsid w:val="00564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B2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51B28"/>
    <w:pPr>
      <w:ind w:left="720"/>
      <w:contextualSpacing/>
    </w:pPr>
  </w:style>
  <w:style w:type="paragraph" w:styleId="Header">
    <w:name w:val="header"/>
    <w:basedOn w:val="Normal"/>
    <w:link w:val="HeaderChar"/>
    <w:uiPriority w:val="99"/>
    <w:unhideWhenUsed/>
    <w:qFormat/>
    <w:rsid w:val="00E51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B28"/>
  </w:style>
  <w:style w:type="paragraph" w:styleId="Footer">
    <w:name w:val="footer"/>
    <w:basedOn w:val="Normal"/>
    <w:link w:val="FooterChar"/>
    <w:uiPriority w:val="99"/>
    <w:unhideWhenUsed/>
    <w:rsid w:val="00E51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B28"/>
  </w:style>
  <w:style w:type="character" w:styleId="Hyperlink">
    <w:name w:val="Hyperlink"/>
    <w:basedOn w:val="DefaultParagraphFont"/>
    <w:uiPriority w:val="99"/>
    <w:unhideWhenUsed/>
    <w:rsid w:val="00E51B28"/>
    <w:rPr>
      <w:color w:val="0563C1" w:themeColor="hyperlink"/>
      <w:u w:val="single"/>
    </w:rPr>
  </w:style>
  <w:style w:type="table" w:styleId="TableGrid">
    <w:name w:val="Table Grid"/>
    <w:basedOn w:val="TableNormal"/>
    <w:uiPriority w:val="39"/>
    <w:rsid w:val="00E51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1B28"/>
    <w:rPr>
      <w:color w:val="808080"/>
    </w:rPr>
  </w:style>
  <w:style w:type="character" w:customStyle="1" w:styleId="UnresolvedMention">
    <w:name w:val="Unresolved Mention"/>
    <w:basedOn w:val="DefaultParagraphFont"/>
    <w:uiPriority w:val="99"/>
    <w:semiHidden/>
    <w:unhideWhenUsed/>
    <w:rsid w:val="008F2AC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customStyle="1" w:styleId="Default">
    <w:name w:val="Default"/>
    <w:rsid w:val="0056450E"/>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alloonText">
    <w:name w:val="Balloon Text"/>
    <w:basedOn w:val="Normal"/>
    <w:link w:val="BalloonTextChar"/>
    <w:uiPriority w:val="99"/>
    <w:semiHidden/>
    <w:unhideWhenUsed/>
    <w:rsid w:val="00564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gfj.2017.03.001" TargetMode="External"/><Relationship Id="rId18" Type="http://schemas.openxmlformats.org/officeDocument/2006/relationships/hyperlink" Target="https://doi.org/10.1080/13518470802604440" TargetMode="External"/><Relationship Id="rId3" Type="http://schemas.openxmlformats.org/officeDocument/2006/relationships/styles" Target="styles.xml"/><Relationship Id="rId21" Type="http://schemas.openxmlformats.org/officeDocument/2006/relationships/hyperlink" Target="https://doi.org/10.1016/j.ememar.2020.100717" TargetMode="External"/><Relationship Id="rId7" Type="http://schemas.openxmlformats.org/officeDocument/2006/relationships/footnotes" Target="footnotes.xml"/><Relationship Id="rId12" Type="http://schemas.openxmlformats.org/officeDocument/2006/relationships/hyperlink" Target="https://doi.org/10.1002/bse.2589" TargetMode="External"/><Relationship Id="rId17" Type="http://schemas.openxmlformats.org/officeDocument/2006/relationships/hyperlink" Target="https://doi.org/10.1007/s11846-019-00358-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su14137595" TargetMode="External"/><Relationship Id="rId20" Type="http://schemas.openxmlformats.org/officeDocument/2006/relationships/hyperlink" Target="https://doi.org/10.1080/23311975.2020.17503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08/MEDAR-11-2020-108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3390/su10030574" TargetMode="External"/><Relationship Id="rId23" Type="http://schemas.openxmlformats.org/officeDocument/2006/relationships/footer" Target="footer1.xml"/><Relationship Id="rId10" Type="http://schemas.openxmlformats.org/officeDocument/2006/relationships/hyperlink" Target="http://ojs.kalbis.ac.id/index.php/kalbisiana/article/view/385/298" TargetMode="External"/><Relationship Id="rId19" Type="http://schemas.openxmlformats.org/officeDocument/2006/relationships/hyperlink" Target="https://doi.org/10.1002/pa.2574" TargetMode="External"/><Relationship Id="rId4" Type="http://schemas.microsoft.com/office/2007/relationships/stylesWithEffects" Target="stylesWithEffects.xml"/><Relationship Id="rId9" Type="http://schemas.openxmlformats.org/officeDocument/2006/relationships/hyperlink" Target="http://dx.doi.org/10.5772/intechopen.70369" TargetMode="External"/><Relationship Id="rId14" Type="http://schemas.openxmlformats.org/officeDocument/2006/relationships/hyperlink" Target="https://doi.org/10.18533/ijbsr.v13i02.1459" TargetMode="External"/><Relationship Id="rId22" Type="http://schemas.openxmlformats.org/officeDocument/2006/relationships/hyperlink" Target="https://doi.org/10.3390/su10103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mUDyiFX9VrnZHWlID2BzMZ3Xsg==">CgMxLjAyCGguZ2pkZ3hzOAByITEwM0VTcExHYWVxV044bUlvQXNDWm04OU1JRThlQzVseQ==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4751</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Omachi Okolo</cp:lastModifiedBy>
  <cp:revision>9</cp:revision>
  <dcterms:created xsi:type="dcterms:W3CDTF">2024-10-22T08:53:00Z</dcterms:created>
  <dcterms:modified xsi:type="dcterms:W3CDTF">2024-11-27T08:45:00Z</dcterms:modified>
</cp:coreProperties>
</file>